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29C74" w14:textId="77777777" w:rsidR="005B504D" w:rsidRDefault="005B504D" w:rsidP="005B504D">
      <w:pPr>
        <w:jc w:val="center"/>
        <w:rPr>
          <w:rFonts w:ascii="Arial" w:hAnsi="Arial" w:cs="Arial"/>
          <w:b/>
          <w:bCs/>
        </w:rPr>
      </w:pPr>
      <w:r>
        <w:rPr>
          <w:noProof/>
        </w:rPr>
        <w:drawing>
          <wp:inline distT="0" distB="0" distL="0" distR="0" wp14:anchorId="54438C02" wp14:editId="3E5F1A8B">
            <wp:extent cx="3792855" cy="120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14:paraId="6CE8EB46" w14:textId="77777777" w:rsidR="005B504D" w:rsidRPr="00D11366" w:rsidRDefault="005B504D" w:rsidP="005B504D">
      <w:pPr>
        <w:jc w:val="center"/>
        <w:rPr>
          <w:rFonts w:ascii="Arial" w:hAnsi="Arial" w:cs="Arial"/>
          <w:b/>
          <w:bCs/>
        </w:rPr>
      </w:pPr>
      <w:r w:rsidRPr="00D11366">
        <w:rPr>
          <w:rFonts w:ascii="Arial" w:hAnsi="Arial" w:cs="Arial"/>
          <w:b/>
          <w:bCs/>
        </w:rPr>
        <w:t>POWER GRID CORPORATION OF INDIA LIMITED</w:t>
      </w:r>
    </w:p>
    <w:p w14:paraId="3E96D42A" w14:textId="77777777" w:rsidR="005B504D" w:rsidRPr="00D11366" w:rsidRDefault="005B504D" w:rsidP="005B504D">
      <w:pPr>
        <w:jc w:val="center"/>
        <w:rPr>
          <w:rFonts w:ascii="Arial" w:hAnsi="Arial" w:cs="Arial"/>
        </w:rPr>
      </w:pPr>
      <w:r w:rsidRPr="00D11366">
        <w:rPr>
          <w:rFonts w:ascii="Arial" w:hAnsi="Arial" w:cs="Arial"/>
          <w:b/>
          <w:bCs/>
        </w:rPr>
        <w:t>(A Government of India Enterprise)</w:t>
      </w:r>
    </w:p>
    <w:p w14:paraId="3B56334A" w14:textId="77777777" w:rsidR="005B504D" w:rsidRPr="00D11366" w:rsidRDefault="005B504D" w:rsidP="005B504D">
      <w:pPr>
        <w:ind w:left="2160"/>
        <w:jc w:val="both"/>
        <w:rPr>
          <w:rFonts w:ascii="Arial" w:hAnsi="Arial" w:cs="Arial"/>
        </w:rPr>
      </w:pPr>
    </w:p>
    <w:p w14:paraId="74FA642A" w14:textId="77777777" w:rsidR="005B504D" w:rsidRPr="00D11366" w:rsidRDefault="005B504D" w:rsidP="005B504D">
      <w:pPr>
        <w:jc w:val="both"/>
        <w:rPr>
          <w:rFonts w:ascii="Arial" w:hAnsi="Arial" w:cs="Arial"/>
        </w:rPr>
      </w:pPr>
    </w:p>
    <w:p w14:paraId="44E187A2" w14:textId="77777777" w:rsidR="005B504D" w:rsidRPr="00D11366" w:rsidRDefault="005B504D" w:rsidP="005B504D">
      <w:pPr>
        <w:jc w:val="center"/>
        <w:rPr>
          <w:rFonts w:ascii="Arial" w:hAnsi="Arial" w:cs="Arial"/>
          <w:b/>
          <w:bCs/>
        </w:rPr>
      </w:pPr>
      <w:r w:rsidRPr="00D11366">
        <w:rPr>
          <w:rFonts w:ascii="Arial" w:hAnsi="Arial" w:cs="Arial"/>
          <w:b/>
          <w:bCs/>
        </w:rPr>
        <w:t>TERMS OF REFERENCE</w:t>
      </w:r>
      <w:r>
        <w:rPr>
          <w:rFonts w:ascii="Arial" w:hAnsi="Arial" w:cs="Arial"/>
          <w:b/>
          <w:bCs/>
        </w:rPr>
        <w:t xml:space="preserve"> (</w:t>
      </w:r>
      <w:proofErr w:type="spellStart"/>
      <w:r>
        <w:rPr>
          <w:rFonts w:ascii="Arial" w:hAnsi="Arial" w:cs="Arial"/>
          <w:b/>
          <w:bCs/>
        </w:rPr>
        <w:t>ToR</w:t>
      </w:r>
      <w:proofErr w:type="spellEnd"/>
      <w:r>
        <w:rPr>
          <w:rFonts w:ascii="Arial" w:hAnsi="Arial" w:cs="Arial"/>
          <w:b/>
          <w:bCs/>
        </w:rPr>
        <w:t>)</w:t>
      </w:r>
    </w:p>
    <w:p w14:paraId="1B1D2CBE" w14:textId="77777777" w:rsidR="005B504D" w:rsidRPr="00D11366" w:rsidRDefault="005B504D" w:rsidP="005B504D">
      <w:pPr>
        <w:ind w:left="2160"/>
        <w:jc w:val="center"/>
        <w:rPr>
          <w:rFonts w:ascii="Arial" w:hAnsi="Arial" w:cs="Arial"/>
          <w:b/>
          <w:bCs/>
        </w:rPr>
      </w:pPr>
    </w:p>
    <w:p w14:paraId="494A3529" w14:textId="77777777" w:rsidR="005B504D" w:rsidRPr="00D11366" w:rsidRDefault="005B504D" w:rsidP="005B504D">
      <w:pPr>
        <w:jc w:val="center"/>
        <w:rPr>
          <w:rFonts w:ascii="Arial" w:hAnsi="Arial" w:cs="Arial"/>
          <w:b/>
          <w:bCs/>
        </w:rPr>
      </w:pPr>
      <w:r w:rsidRPr="00D11366">
        <w:rPr>
          <w:rFonts w:ascii="Arial" w:hAnsi="Arial" w:cs="Arial"/>
          <w:b/>
          <w:bCs/>
        </w:rPr>
        <w:t>(SECTION-II of RFP DOCUMENTS)</w:t>
      </w:r>
    </w:p>
    <w:p w14:paraId="3EE65251" w14:textId="77777777" w:rsidR="005B504D" w:rsidRPr="00D11366" w:rsidRDefault="005B504D" w:rsidP="005B504D">
      <w:pPr>
        <w:ind w:left="2160"/>
        <w:jc w:val="center"/>
        <w:rPr>
          <w:rFonts w:ascii="Arial" w:hAnsi="Arial" w:cs="Arial"/>
          <w:b/>
          <w:bCs/>
        </w:rPr>
      </w:pPr>
    </w:p>
    <w:p w14:paraId="24F0C0E6" w14:textId="77777777" w:rsidR="005B504D" w:rsidRPr="00D11366" w:rsidRDefault="005B504D" w:rsidP="005B504D">
      <w:pPr>
        <w:jc w:val="center"/>
        <w:rPr>
          <w:rFonts w:ascii="Arial" w:hAnsi="Arial" w:cs="Arial"/>
          <w:b/>
          <w:bCs/>
        </w:rPr>
      </w:pPr>
      <w:r w:rsidRPr="00D11366">
        <w:rPr>
          <w:rFonts w:ascii="Arial" w:hAnsi="Arial" w:cs="Arial"/>
          <w:b/>
          <w:bCs/>
        </w:rPr>
        <w:t>FOR</w:t>
      </w:r>
    </w:p>
    <w:p w14:paraId="4324F85E" w14:textId="7DB37B68" w:rsidR="005B504D" w:rsidRPr="001E4E01" w:rsidRDefault="00657251" w:rsidP="005B504D">
      <w:pPr>
        <w:jc w:val="center"/>
        <w:rPr>
          <w:rFonts w:ascii="Arial" w:hAnsi="Arial" w:cs="Arial"/>
          <w:b/>
          <w:bCs/>
          <w:sz w:val="24"/>
          <w:szCs w:val="24"/>
        </w:rPr>
      </w:pPr>
      <w:r w:rsidRPr="00657251">
        <w:rPr>
          <w:rFonts w:ascii="Arial" w:hAnsi="Arial" w:cs="Arial"/>
          <w:b/>
          <w:bCs/>
          <w:sz w:val="24"/>
          <w:szCs w:val="24"/>
        </w:rPr>
        <w:t>Engagement of Consultant for Information Security Gap Assessment of POWERGRID</w:t>
      </w:r>
      <w:r w:rsidR="005B504D" w:rsidRPr="001E4E01">
        <w:rPr>
          <w:rFonts w:ascii="Arial" w:hAnsi="Arial" w:cs="Arial"/>
          <w:b/>
          <w:bCs/>
          <w:sz w:val="24"/>
          <w:szCs w:val="24"/>
        </w:rPr>
        <w:t xml:space="preserve">. </w:t>
      </w:r>
    </w:p>
    <w:p w14:paraId="7C590C8E" w14:textId="77777777" w:rsidR="005B504D" w:rsidRPr="001E4E01" w:rsidRDefault="005B504D" w:rsidP="005B504D">
      <w:pPr>
        <w:jc w:val="center"/>
        <w:rPr>
          <w:rFonts w:ascii="Arial" w:hAnsi="Arial" w:cs="Arial"/>
          <w:b/>
          <w:bCs/>
          <w:sz w:val="24"/>
          <w:szCs w:val="24"/>
        </w:rPr>
      </w:pPr>
    </w:p>
    <w:p w14:paraId="7F439EB1" w14:textId="6538082E" w:rsidR="005B504D" w:rsidRPr="001E4E01" w:rsidRDefault="005B504D" w:rsidP="005B504D">
      <w:pPr>
        <w:jc w:val="center"/>
        <w:rPr>
          <w:rFonts w:ascii="Arial" w:hAnsi="Arial" w:cs="Arial"/>
          <w:b/>
          <w:bCs/>
          <w:sz w:val="24"/>
          <w:szCs w:val="24"/>
        </w:rPr>
      </w:pPr>
      <w:r w:rsidRPr="001E4E01">
        <w:rPr>
          <w:rFonts w:ascii="Arial" w:hAnsi="Arial" w:cs="Arial"/>
          <w:b/>
          <w:bCs/>
          <w:sz w:val="24"/>
          <w:szCs w:val="24"/>
        </w:rPr>
        <w:t xml:space="preserve">(Spec. No. </w:t>
      </w:r>
      <w:r w:rsidR="00CA2BC2" w:rsidRPr="004E299B">
        <w:rPr>
          <w:rFonts w:ascii="Arial Nova" w:hAnsi="Arial Nova" w:cs="Arial"/>
          <w:b/>
          <w:bCs/>
          <w:color w:val="C00000"/>
        </w:rPr>
        <w:t>CC/NT/S-CONS/DOM/A00/25/03975</w:t>
      </w:r>
      <w:r w:rsidRPr="001E4E01">
        <w:rPr>
          <w:rFonts w:ascii="Arial" w:hAnsi="Arial" w:cs="Arial"/>
          <w:b/>
          <w:bCs/>
          <w:sz w:val="24"/>
          <w:szCs w:val="24"/>
        </w:rPr>
        <w:t>)</w:t>
      </w:r>
      <w:r w:rsidRPr="001E4E01" w:rsidDel="00735BB4">
        <w:rPr>
          <w:rFonts w:ascii="Arial" w:hAnsi="Arial" w:cs="Arial"/>
          <w:b/>
          <w:bCs/>
          <w:sz w:val="24"/>
          <w:szCs w:val="24"/>
        </w:rPr>
        <w:t xml:space="preserve"> </w:t>
      </w:r>
    </w:p>
    <w:p w14:paraId="602BD6EC" w14:textId="77777777" w:rsidR="005B504D" w:rsidRDefault="005B504D" w:rsidP="005B504D">
      <w:pPr>
        <w:rPr>
          <w:rFonts w:ascii="Arial" w:hAnsi="Arial" w:cs="Arial"/>
          <w:b/>
          <w:bCs/>
        </w:rPr>
      </w:pPr>
    </w:p>
    <w:p w14:paraId="0CE107DC" w14:textId="77777777" w:rsidR="005B504D" w:rsidRDefault="005B504D" w:rsidP="005B504D">
      <w:pPr>
        <w:jc w:val="center"/>
        <w:rPr>
          <w:rFonts w:ascii="Arial" w:hAnsi="Arial" w:cs="Arial"/>
          <w:b/>
          <w:bCs/>
        </w:rPr>
      </w:pPr>
    </w:p>
    <w:p w14:paraId="2FF73A85" w14:textId="77777777" w:rsidR="005B504D" w:rsidRPr="00D11366" w:rsidRDefault="005B504D" w:rsidP="005B504D">
      <w:pPr>
        <w:jc w:val="center"/>
        <w:rPr>
          <w:rFonts w:ascii="Arial" w:hAnsi="Arial" w:cs="Arial"/>
          <w:b/>
          <w:bCs/>
        </w:rPr>
      </w:pPr>
    </w:p>
    <w:p w14:paraId="3A8CD19D" w14:textId="77777777" w:rsidR="005B504D" w:rsidRPr="00D11366" w:rsidRDefault="005B504D" w:rsidP="005B504D">
      <w:pPr>
        <w:jc w:val="center"/>
        <w:rPr>
          <w:rFonts w:ascii="Arial" w:hAnsi="Arial" w:cs="Arial"/>
          <w:b/>
          <w:bCs/>
        </w:rPr>
      </w:pPr>
    </w:p>
    <w:p w14:paraId="475250F2" w14:textId="77777777" w:rsidR="005B504D" w:rsidRPr="00BF2A39" w:rsidRDefault="005B504D" w:rsidP="005B504D">
      <w:pPr>
        <w:jc w:val="both"/>
        <w:rPr>
          <w:rFonts w:ascii="Arial" w:hAnsi="Arial" w:cs="Arial"/>
        </w:rPr>
      </w:pPr>
      <w:r w:rsidRPr="00D11366">
        <w:rPr>
          <w:rFonts w:ascii="Arial" w:hAnsi="Arial" w:cs="Arial"/>
        </w:rPr>
        <w:t xml:space="preserve">(This document is meant for exclusive purpose of bidding against this specification only and shall not be transferred, </w:t>
      </w:r>
      <w:proofErr w:type="gramStart"/>
      <w:r w:rsidRPr="00D11366">
        <w:rPr>
          <w:rFonts w:ascii="Arial" w:hAnsi="Arial" w:cs="Arial"/>
        </w:rPr>
        <w:t>reproduced</w:t>
      </w:r>
      <w:proofErr w:type="gramEnd"/>
      <w:r w:rsidRPr="00D11366">
        <w:rPr>
          <w:rFonts w:ascii="Arial" w:hAnsi="Arial" w:cs="Arial"/>
        </w:rPr>
        <w:t xml:space="preserve"> or otherwise used for purpose other than that for which it is specifically issued)</w:t>
      </w:r>
    </w:p>
    <w:p w14:paraId="3BF836BF" w14:textId="77777777" w:rsidR="005B504D" w:rsidRDefault="005B504D" w:rsidP="005B504D">
      <w:pPr>
        <w:spacing w:line="360" w:lineRule="auto"/>
        <w:rPr>
          <w:rFonts w:ascii="Arial" w:hAnsi="Arial" w:cs="Arial"/>
          <w:b/>
          <w:bCs/>
          <w:color w:val="000000" w:themeColor="text1"/>
        </w:rPr>
      </w:pPr>
    </w:p>
    <w:p w14:paraId="3C590744" w14:textId="77777777" w:rsidR="005B504D" w:rsidRDefault="005B504D" w:rsidP="005B504D">
      <w:pPr>
        <w:spacing w:line="360" w:lineRule="auto"/>
        <w:rPr>
          <w:rFonts w:ascii="Arial" w:hAnsi="Arial" w:cs="Arial"/>
          <w:b/>
          <w:bCs/>
          <w:color w:val="000000" w:themeColor="text1"/>
        </w:rPr>
      </w:pPr>
    </w:p>
    <w:p w14:paraId="3E78994A" w14:textId="77777777" w:rsidR="005B504D" w:rsidRDefault="005B504D" w:rsidP="005B504D">
      <w:pPr>
        <w:spacing w:line="360" w:lineRule="auto"/>
        <w:rPr>
          <w:rFonts w:ascii="Arial" w:hAnsi="Arial" w:cs="Arial"/>
          <w:b/>
          <w:bCs/>
          <w:color w:val="000000" w:themeColor="text1"/>
        </w:rPr>
      </w:pPr>
    </w:p>
    <w:p w14:paraId="339D80B4" w14:textId="77777777" w:rsidR="005B504D" w:rsidRDefault="005B504D" w:rsidP="005B504D">
      <w:pPr>
        <w:spacing w:line="360" w:lineRule="auto"/>
        <w:rPr>
          <w:rFonts w:ascii="Arial" w:hAnsi="Arial" w:cs="Arial"/>
          <w:b/>
          <w:bCs/>
          <w:color w:val="000000" w:themeColor="text1"/>
        </w:rPr>
      </w:pPr>
    </w:p>
    <w:p w14:paraId="3C5F448B" w14:textId="77777777" w:rsidR="005B504D" w:rsidRDefault="005B504D" w:rsidP="005B504D">
      <w:pPr>
        <w:spacing w:line="360" w:lineRule="auto"/>
        <w:rPr>
          <w:rFonts w:ascii="Arial" w:hAnsi="Arial" w:cs="Arial"/>
          <w:b/>
          <w:bCs/>
          <w:color w:val="000000" w:themeColor="text1"/>
        </w:rPr>
      </w:pPr>
    </w:p>
    <w:p w14:paraId="2DD56974" w14:textId="77777777" w:rsidR="005B504D" w:rsidRDefault="005B504D" w:rsidP="005B504D">
      <w:pPr>
        <w:spacing w:line="360" w:lineRule="auto"/>
        <w:rPr>
          <w:rFonts w:ascii="Arial" w:hAnsi="Arial" w:cs="Arial"/>
          <w:b/>
          <w:bCs/>
          <w:color w:val="000000" w:themeColor="text1"/>
        </w:rPr>
      </w:pPr>
    </w:p>
    <w:p w14:paraId="326EA767" w14:textId="56289B10" w:rsidR="003F3F6A" w:rsidRDefault="00985B26" w:rsidP="00D14201">
      <w:pPr>
        <w:jc w:val="center"/>
        <w:rPr>
          <w:rFonts w:ascii="Arial" w:hAnsi="Arial" w:cs="Arial"/>
          <w:b/>
          <w:bCs/>
          <w:sz w:val="24"/>
          <w:szCs w:val="24"/>
        </w:rPr>
      </w:pPr>
      <w:r>
        <w:rPr>
          <w:rFonts w:ascii="Arial" w:hAnsi="Arial" w:cs="Arial"/>
          <w:b/>
          <w:bCs/>
          <w:sz w:val="24"/>
          <w:szCs w:val="24"/>
        </w:rPr>
        <w:br w:type="page"/>
      </w:r>
    </w:p>
    <w:p w14:paraId="3738C20A" w14:textId="77777777" w:rsidR="005D62D8" w:rsidRPr="00A418F2" w:rsidRDefault="005D62D8" w:rsidP="005D62D8">
      <w:pPr>
        <w:spacing w:line="276" w:lineRule="auto"/>
        <w:jc w:val="center"/>
        <w:rPr>
          <w:rFonts w:ascii="Arial Nova" w:hAnsi="Arial Nova" w:cs="Arial"/>
          <w:b/>
          <w:bCs/>
          <w:u w:val="single"/>
        </w:rPr>
      </w:pPr>
      <w:r w:rsidRPr="00A418F2">
        <w:rPr>
          <w:rFonts w:ascii="Arial Nova" w:hAnsi="Arial Nova" w:cs="Arial"/>
          <w:b/>
          <w:bCs/>
          <w:u w:val="single"/>
        </w:rPr>
        <w:lastRenderedPageBreak/>
        <w:t>SECTION-II: TERMS OF REFERENCE</w:t>
      </w:r>
    </w:p>
    <w:p w14:paraId="1778BA4C" w14:textId="77777777" w:rsidR="005D62D8" w:rsidRPr="00A418F2" w:rsidRDefault="005D62D8" w:rsidP="005D62D8">
      <w:pPr>
        <w:jc w:val="center"/>
        <w:rPr>
          <w:rFonts w:ascii="Arial Nova" w:hAnsi="Arial Nova" w:cs="Arial"/>
          <w:b/>
          <w:bCs/>
        </w:rPr>
      </w:pPr>
      <w:r w:rsidRPr="00A418F2">
        <w:rPr>
          <w:rFonts w:ascii="Arial Nova" w:hAnsi="Arial Nova" w:cs="Arial"/>
          <w:b/>
          <w:bCs/>
        </w:rPr>
        <w:t>For</w:t>
      </w:r>
    </w:p>
    <w:p w14:paraId="0D8FC616" w14:textId="77777777" w:rsidR="005D62D8" w:rsidRPr="00A418F2" w:rsidRDefault="005D62D8" w:rsidP="005D62D8">
      <w:pPr>
        <w:tabs>
          <w:tab w:val="left" w:pos="1037"/>
        </w:tabs>
        <w:jc w:val="center"/>
        <w:rPr>
          <w:rFonts w:ascii="Arial Nova" w:hAnsi="Arial Nova" w:cs="Arial"/>
          <w:b/>
          <w:u w:val="single"/>
        </w:rPr>
      </w:pPr>
      <w:r w:rsidRPr="00A418F2">
        <w:rPr>
          <w:rFonts w:ascii="Arial Nova" w:hAnsi="Arial Nova" w:cs="Arial"/>
          <w:b/>
          <w:bCs/>
        </w:rPr>
        <w:t>Engagement of Consultant for Information Security Gap Assessment of POWERGRID.</w:t>
      </w:r>
    </w:p>
    <w:p w14:paraId="5FAEF09D" w14:textId="77777777" w:rsidR="005D62D8" w:rsidRPr="00A418F2" w:rsidRDefault="005D62D8" w:rsidP="005D62D8">
      <w:pPr>
        <w:tabs>
          <w:tab w:val="left" w:pos="1037"/>
        </w:tabs>
        <w:jc w:val="center"/>
        <w:rPr>
          <w:rFonts w:ascii="Arial Nova" w:hAnsi="Arial Nova" w:cs="Arial"/>
          <w:b/>
          <w:u w:val="single"/>
        </w:rPr>
      </w:pPr>
    </w:p>
    <w:p w14:paraId="5551A0D5" w14:textId="77777777" w:rsidR="005D62D8" w:rsidRPr="00A418F2" w:rsidRDefault="005D62D8" w:rsidP="006C593A">
      <w:pPr>
        <w:pStyle w:val="ListParagraph"/>
        <w:numPr>
          <w:ilvl w:val="0"/>
          <w:numId w:val="11"/>
        </w:numPr>
        <w:spacing w:after="120" w:line="240" w:lineRule="auto"/>
        <w:ind w:left="284"/>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About POWERGRID</w:t>
      </w:r>
    </w:p>
    <w:p w14:paraId="3793F780" w14:textId="77777777" w:rsidR="005D62D8" w:rsidRPr="00A418F2" w:rsidRDefault="005D62D8" w:rsidP="005D62D8">
      <w:pPr>
        <w:spacing w:after="120"/>
        <w:ind w:left="284"/>
        <w:jc w:val="both"/>
        <w:rPr>
          <w:rFonts w:ascii="Arial Nova" w:eastAsia="Arial" w:hAnsi="Arial Nova"/>
          <w:color w:val="000000" w:themeColor="text1"/>
        </w:rPr>
      </w:pPr>
      <w:r w:rsidRPr="00A418F2">
        <w:rPr>
          <w:rFonts w:ascii="Arial Nova" w:eastAsia="Arial" w:hAnsi="Arial Nova"/>
          <w:i/>
          <w:iCs/>
          <w:color w:val="000000" w:themeColor="text1"/>
        </w:rPr>
        <w:t>Power Grid Corporation of India Limited (POWERGRID) is a Schedule ‘A’, ‘</w:t>
      </w:r>
      <w:proofErr w:type="spellStart"/>
      <w:r w:rsidRPr="00A418F2">
        <w:rPr>
          <w:rFonts w:ascii="Arial Nova" w:eastAsia="Arial" w:hAnsi="Arial Nova"/>
          <w:i/>
          <w:iCs/>
          <w:color w:val="000000" w:themeColor="text1"/>
        </w:rPr>
        <w:t>Maharatna</w:t>
      </w:r>
      <w:proofErr w:type="spellEnd"/>
      <w:r w:rsidRPr="00A418F2">
        <w:rPr>
          <w:rFonts w:ascii="Arial Nova" w:eastAsia="Arial" w:hAnsi="Arial Nova"/>
          <w:i/>
          <w:iCs/>
          <w:color w:val="000000" w:themeColor="text1"/>
        </w:rPr>
        <w:t xml:space="preserve">’ Public Sector Enterprise of Govt. of India. POWERGRID is mainly engaged in the business of transmission of power through its EHVAC/HVDC transmission network. </w:t>
      </w:r>
      <w:r w:rsidRPr="00A418F2">
        <w:rPr>
          <w:rFonts w:ascii="Arial Nova" w:eastAsia="Arial" w:hAnsi="Arial Nova"/>
          <w:color w:val="000000" w:themeColor="text1"/>
        </w:rPr>
        <w:t>POWERGRID is also in Telecom business through its wholly owned subsidiary-POWERGRID Teleservices Limited (</w:t>
      </w:r>
      <w:proofErr w:type="spellStart"/>
      <w:r w:rsidRPr="00A418F2">
        <w:rPr>
          <w:rFonts w:ascii="Arial Nova" w:eastAsia="Arial" w:hAnsi="Arial Nova"/>
          <w:color w:val="000000" w:themeColor="text1"/>
        </w:rPr>
        <w:t>PowerTel</w:t>
      </w:r>
      <w:proofErr w:type="spellEnd"/>
      <w:r w:rsidRPr="00A418F2">
        <w:rPr>
          <w:rFonts w:ascii="Arial Nova" w:eastAsia="Arial" w:hAnsi="Arial Nova"/>
          <w:color w:val="000000" w:themeColor="text1"/>
        </w:rPr>
        <w:t>).</w:t>
      </w:r>
    </w:p>
    <w:p w14:paraId="6112CB2A" w14:textId="77777777" w:rsidR="005D62D8" w:rsidRPr="00A418F2" w:rsidRDefault="005D62D8" w:rsidP="005D62D8">
      <w:pPr>
        <w:spacing w:after="120"/>
        <w:ind w:firstLine="284"/>
        <w:jc w:val="both"/>
        <w:rPr>
          <w:rFonts w:ascii="Arial Nova" w:eastAsia="Arial" w:hAnsi="Arial Nova"/>
          <w:i/>
          <w:iCs/>
          <w:color w:val="000000" w:themeColor="text1"/>
        </w:rPr>
      </w:pPr>
      <w:r w:rsidRPr="00A418F2">
        <w:rPr>
          <w:rFonts w:ascii="Arial Nova" w:eastAsia="Arial" w:hAnsi="Arial Nova"/>
          <w:b/>
          <w:bCs/>
          <w:color w:val="000000" w:themeColor="text1"/>
        </w:rPr>
        <w:t xml:space="preserve">POWERGRID IT/OT Infrastructure </w:t>
      </w:r>
    </w:p>
    <w:p w14:paraId="2908E72C" w14:textId="77777777" w:rsidR="005D62D8" w:rsidRPr="00A418F2" w:rsidRDefault="005D62D8" w:rsidP="005D62D8">
      <w:pPr>
        <w:spacing w:after="120"/>
        <w:ind w:left="284"/>
        <w:jc w:val="both"/>
        <w:rPr>
          <w:rFonts w:ascii="Arial Nova" w:eastAsia="Arial" w:hAnsi="Arial Nova"/>
          <w:color w:val="000000" w:themeColor="text1"/>
        </w:rPr>
      </w:pPr>
      <w:r w:rsidRPr="00A418F2">
        <w:rPr>
          <w:rFonts w:ascii="Arial Nova" w:eastAsia="Arial" w:hAnsi="Arial Nova"/>
          <w:color w:val="000000" w:themeColor="text1"/>
        </w:rPr>
        <w:t>IT/OT networks of POWERGRID are PAN-India and consists of the followings:</w:t>
      </w:r>
    </w:p>
    <w:p w14:paraId="55993F73" w14:textId="77777777" w:rsidR="005D62D8" w:rsidRPr="00A418F2" w:rsidRDefault="005D62D8" w:rsidP="006C593A">
      <w:pPr>
        <w:pStyle w:val="ListParagraph"/>
        <w:numPr>
          <w:ilvl w:val="0"/>
          <w:numId w:val="16"/>
        </w:numPr>
        <w:spacing w:after="0" w:line="240" w:lineRule="auto"/>
        <w:ind w:left="1066"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IT/ERP System which manages the entire IT business needs of POWERGRID.</w:t>
      </w:r>
    </w:p>
    <w:p w14:paraId="73240F04" w14:textId="77777777" w:rsidR="005D62D8" w:rsidRPr="00A418F2" w:rsidRDefault="005D62D8" w:rsidP="006C593A">
      <w:pPr>
        <w:pStyle w:val="ListParagraph"/>
        <w:numPr>
          <w:ilvl w:val="0"/>
          <w:numId w:val="16"/>
        </w:numPr>
        <w:spacing w:after="0" w:line="240" w:lineRule="auto"/>
        <w:ind w:left="1066"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 xml:space="preserve">POWERGRID has the presence in 283 substations PAN India for managing the EHV transmission voltage having Substation Automation System.  </w:t>
      </w:r>
    </w:p>
    <w:p w14:paraId="49611067" w14:textId="77777777" w:rsidR="005D62D8" w:rsidRPr="00A418F2" w:rsidRDefault="005D62D8" w:rsidP="006C593A">
      <w:pPr>
        <w:pStyle w:val="ListParagraph"/>
        <w:numPr>
          <w:ilvl w:val="0"/>
          <w:numId w:val="16"/>
        </w:numPr>
        <w:spacing w:after="0" w:line="240" w:lineRule="auto"/>
        <w:ind w:left="1066"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 xml:space="preserve">National Transmission Asset Management System (NTAMC)/ RTAMCs (Regional Transmission Asset Management </w:t>
      </w:r>
      <w:proofErr w:type="spellStart"/>
      <w:r w:rsidRPr="00A418F2">
        <w:rPr>
          <w:rFonts w:ascii="Arial Nova" w:eastAsia="Arial" w:hAnsi="Arial Nova"/>
          <w:color w:val="000000" w:themeColor="text1"/>
        </w:rPr>
        <w:t>Centres</w:t>
      </w:r>
      <w:proofErr w:type="spellEnd"/>
      <w:r w:rsidRPr="00A418F2">
        <w:rPr>
          <w:rFonts w:ascii="Arial Nova" w:eastAsia="Arial" w:hAnsi="Arial Nova"/>
          <w:color w:val="000000" w:themeColor="text1"/>
        </w:rPr>
        <w:t>) for Remote operation of substations.</w:t>
      </w:r>
    </w:p>
    <w:p w14:paraId="2BBF1450" w14:textId="77777777" w:rsidR="005D62D8" w:rsidRPr="00A418F2" w:rsidRDefault="005D62D8" w:rsidP="006C593A">
      <w:pPr>
        <w:pStyle w:val="ListParagraph"/>
        <w:numPr>
          <w:ilvl w:val="0"/>
          <w:numId w:val="16"/>
        </w:numPr>
        <w:spacing w:after="0" w:line="240" w:lineRule="auto"/>
        <w:ind w:left="1066"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Unified Load Dispatch and Communication (ULDC) system comprising of automation management system and related communication systems, its Network Management System (NMS) / Unified Network Management System (UNMS), Unified Real Time Dynamic State Measurement (URTDSM) for Grid operation of Power System.</w:t>
      </w:r>
    </w:p>
    <w:p w14:paraId="5C7B132F" w14:textId="77777777" w:rsidR="005D62D8" w:rsidRPr="00A418F2" w:rsidRDefault="005D62D8" w:rsidP="006C593A">
      <w:pPr>
        <w:pStyle w:val="ListParagraph"/>
        <w:numPr>
          <w:ilvl w:val="0"/>
          <w:numId w:val="16"/>
        </w:numPr>
        <w:spacing w:after="120" w:line="240" w:lineRule="auto"/>
        <w:contextualSpacing w:val="0"/>
        <w:jc w:val="both"/>
        <w:rPr>
          <w:rFonts w:ascii="Arial Nova" w:eastAsia="Arial" w:hAnsi="Arial Nova"/>
          <w:color w:val="000000" w:themeColor="text1"/>
        </w:rPr>
      </w:pPr>
      <w:proofErr w:type="spellStart"/>
      <w:r w:rsidRPr="00A418F2">
        <w:rPr>
          <w:rFonts w:ascii="Arial Nova" w:eastAsia="Arial" w:hAnsi="Arial Nova"/>
          <w:color w:val="000000" w:themeColor="text1"/>
        </w:rPr>
        <w:t>PowerTel</w:t>
      </w:r>
      <w:proofErr w:type="spellEnd"/>
      <w:r w:rsidRPr="00A418F2">
        <w:rPr>
          <w:rFonts w:ascii="Arial Nova" w:eastAsia="Arial" w:hAnsi="Arial Nova"/>
          <w:color w:val="000000" w:themeColor="text1"/>
        </w:rPr>
        <w:t xml:space="preserve"> OT system of Telecom equipment, MPLS system, NMS System and Data Centre to provide Telecom Services.</w:t>
      </w:r>
    </w:p>
    <w:p w14:paraId="789BCEE8" w14:textId="77777777" w:rsidR="005D62D8" w:rsidRPr="00A418F2" w:rsidRDefault="005D62D8" w:rsidP="005D62D8">
      <w:pPr>
        <w:spacing w:after="120"/>
        <w:ind w:left="284"/>
        <w:jc w:val="both"/>
        <w:rPr>
          <w:rFonts w:ascii="Arial Nova" w:eastAsia="Arial" w:hAnsi="Arial Nova"/>
          <w:color w:val="000000" w:themeColor="text1"/>
        </w:rPr>
      </w:pPr>
      <w:r w:rsidRPr="00A418F2">
        <w:rPr>
          <w:rFonts w:ascii="Arial Nova" w:eastAsia="Arial" w:hAnsi="Arial Nova"/>
          <w:color w:val="000000" w:themeColor="text1"/>
        </w:rPr>
        <w:t xml:space="preserve">POWERGRID has a comprehensive ISMS Policy based on ISO 27001 standard for last 10 years and all offices and substations are ISO 27001 certified. Some of the offices are certified with 2022 version and some are with 2013 which are also planned to be certified with 2022 version by end of 2025. POWERGRID has developed standard operating procedures (SOPs) to ensure clarity, </w:t>
      </w:r>
      <w:proofErr w:type="gramStart"/>
      <w:r w:rsidRPr="00A418F2">
        <w:rPr>
          <w:rFonts w:ascii="Arial Nova" w:eastAsia="Arial" w:hAnsi="Arial Nova"/>
          <w:color w:val="000000" w:themeColor="text1"/>
        </w:rPr>
        <w:t>consistency</w:t>
      </w:r>
      <w:proofErr w:type="gramEnd"/>
      <w:r w:rsidRPr="00A418F2">
        <w:rPr>
          <w:rFonts w:ascii="Arial Nova" w:eastAsia="Arial" w:hAnsi="Arial Nova"/>
          <w:color w:val="000000" w:themeColor="text1"/>
        </w:rPr>
        <w:t xml:space="preserve"> and effectiveness in security operations. This structured approach creates detailed, actionable procedures that support policy objectives while remaining practical for day-to-day operations.</w:t>
      </w:r>
    </w:p>
    <w:p w14:paraId="0C5D9C83" w14:textId="77777777" w:rsidR="005D62D8" w:rsidRPr="00A418F2" w:rsidRDefault="005D62D8" w:rsidP="005D62D8">
      <w:pPr>
        <w:spacing w:after="120"/>
        <w:ind w:left="284"/>
        <w:jc w:val="both"/>
        <w:rPr>
          <w:rFonts w:ascii="Arial Nova" w:eastAsia="Arial" w:hAnsi="Arial Nova"/>
          <w:color w:val="000000" w:themeColor="text1"/>
        </w:rPr>
      </w:pPr>
      <w:r w:rsidRPr="00A418F2">
        <w:rPr>
          <w:rFonts w:ascii="Arial Nova" w:eastAsia="Arial" w:hAnsi="Arial Nova"/>
          <w:color w:val="000000" w:themeColor="text1"/>
        </w:rPr>
        <w:t>POWERGRID has also established a Security Operations Centre (SOC) and it is operating on 24X7 basis for above IT and OT system of POWERGRID.</w:t>
      </w:r>
      <w:r w:rsidRPr="00A418F2" w:rsidDel="00997A59">
        <w:rPr>
          <w:rFonts w:ascii="Arial Nova" w:eastAsia="Arial" w:hAnsi="Arial Nova"/>
          <w:color w:val="000000" w:themeColor="text1"/>
        </w:rPr>
        <w:t xml:space="preserve"> </w:t>
      </w:r>
    </w:p>
    <w:p w14:paraId="48FC691E" w14:textId="77777777" w:rsidR="005D62D8" w:rsidRPr="00A418F2" w:rsidRDefault="005D62D8" w:rsidP="006C593A">
      <w:pPr>
        <w:pStyle w:val="ListParagraph"/>
        <w:numPr>
          <w:ilvl w:val="0"/>
          <w:numId w:val="11"/>
        </w:numPr>
        <w:spacing w:after="120" w:line="240" w:lineRule="auto"/>
        <w:ind w:left="283" w:hanging="357"/>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Engagement of Consultant</w:t>
      </w:r>
    </w:p>
    <w:p w14:paraId="16597AAB" w14:textId="77777777" w:rsidR="005D62D8" w:rsidRDefault="005D62D8" w:rsidP="005D62D8">
      <w:pPr>
        <w:spacing w:after="120"/>
        <w:ind w:left="283"/>
        <w:jc w:val="both"/>
        <w:rPr>
          <w:rFonts w:ascii="Arial Nova" w:eastAsia="Arial" w:hAnsi="Arial Nova"/>
          <w:color w:val="000000" w:themeColor="text1"/>
        </w:rPr>
      </w:pPr>
      <w:r w:rsidRPr="00A418F2">
        <w:rPr>
          <w:rFonts w:ascii="Arial Nova" w:eastAsia="Arial" w:hAnsi="Arial Nova"/>
          <w:color w:val="000000" w:themeColor="text1"/>
        </w:rPr>
        <w:t xml:space="preserve">POWERGRID intends to engage Information Security Consultant for a duration of three (3) years to assess, review existing information security policies, procedures, and controls, architectural security and analysis of defense-in-depth implementation in different networks of POWERGRID, processes, and practices followed in operations and maintenance of systems, devices, applications deployed in the different networks, assess Security Operations Centre (SOC) and recommend for enhancement, determine/ derive cybersecurity metrics and recommend methods to achieve the derived metrics in forms of Key Performance Indicators (KPI) and Key Risk Indicators (KRI). </w:t>
      </w:r>
    </w:p>
    <w:p w14:paraId="6EC64017" w14:textId="77777777" w:rsidR="00475E87" w:rsidRPr="00A418F2" w:rsidRDefault="00475E87" w:rsidP="005D62D8">
      <w:pPr>
        <w:spacing w:after="120"/>
        <w:ind w:left="283"/>
        <w:jc w:val="both"/>
        <w:rPr>
          <w:rFonts w:ascii="Arial Nova" w:eastAsia="Arial" w:hAnsi="Arial Nova"/>
          <w:color w:val="000000" w:themeColor="text1"/>
        </w:rPr>
      </w:pPr>
    </w:p>
    <w:p w14:paraId="01C3B2A3" w14:textId="77777777" w:rsidR="005D62D8" w:rsidRPr="00817B18" w:rsidRDefault="005D62D8" w:rsidP="005D62D8">
      <w:pPr>
        <w:spacing w:after="120"/>
        <w:ind w:left="283"/>
        <w:jc w:val="both"/>
        <w:rPr>
          <w:rFonts w:ascii="Arial Nova" w:eastAsia="Arial" w:hAnsi="Arial Nova"/>
          <w:color w:val="000000" w:themeColor="text1"/>
          <w:sz w:val="2"/>
          <w:szCs w:val="2"/>
        </w:rPr>
      </w:pPr>
    </w:p>
    <w:p w14:paraId="4BA8D9C0" w14:textId="77777777" w:rsidR="005D62D8" w:rsidRPr="00A418F2" w:rsidRDefault="005D62D8" w:rsidP="006C593A">
      <w:pPr>
        <w:pStyle w:val="ListParagraph"/>
        <w:numPr>
          <w:ilvl w:val="0"/>
          <w:numId w:val="11"/>
        </w:numPr>
        <w:spacing w:after="120" w:line="240" w:lineRule="auto"/>
        <w:ind w:left="284" w:hanging="284"/>
        <w:contextualSpacing w:val="0"/>
        <w:mirrorIndents/>
        <w:jc w:val="both"/>
        <w:rPr>
          <w:rFonts w:ascii="Arial Nova" w:eastAsia="Arial" w:hAnsi="Arial Nova"/>
          <w:b/>
          <w:bCs/>
          <w:color w:val="000000" w:themeColor="text1"/>
        </w:rPr>
      </w:pPr>
      <w:r w:rsidRPr="00A418F2">
        <w:rPr>
          <w:rFonts w:ascii="Arial Nova" w:eastAsia="Arial" w:hAnsi="Arial Nova"/>
          <w:b/>
          <w:bCs/>
          <w:color w:val="000000" w:themeColor="text1"/>
        </w:rPr>
        <w:lastRenderedPageBreak/>
        <w:t>Scope of Work</w:t>
      </w:r>
    </w:p>
    <w:p w14:paraId="27B67FFB" w14:textId="77777777" w:rsidR="005D62D8" w:rsidRPr="00A418F2" w:rsidRDefault="005D62D8" w:rsidP="005D62D8">
      <w:pPr>
        <w:pStyle w:val="ListParagraph"/>
        <w:spacing w:after="120"/>
        <w:ind w:left="284"/>
        <w:mirrorIndents/>
        <w:jc w:val="both"/>
        <w:rPr>
          <w:rFonts w:ascii="Arial Nova" w:eastAsia="Arial" w:hAnsi="Arial Nova"/>
          <w:color w:val="000000" w:themeColor="text1"/>
        </w:rPr>
      </w:pPr>
      <w:r w:rsidRPr="00A418F2">
        <w:rPr>
          <w:rFonts w:ascii="Arial Nova" w:eastAsia="Arial" w:hAnsi="Arial Nova"/>
          <w:color w:val="000000" w:themeColor="text1"/>
        </w:rPr>
        <w:t>The scope of work includes Information Security Gap Assessment, guidance for development of advanced security capabilities processes and its continuous monitoring through Dashboard having Key Performance Indicators (KPI) and Key Risk Indicators (KRI) in following key areas:</w:t>
      </w:r>
    </w:p>
    <w:p w14:paraId="1F5899E0" w14:textId="77777777" w:rsidR="005D62D8" w:rsidRPr="00A418F2" w:rsidRDefault="005D62D8" w:rsidP="005D62D8">
      <w:pPr>
        <w:pStyle w:val="ListParagraph"/>
        <w:spacing w:after="120"/>
        <w:ind w:left="284"/>
        <w:mirrorIndents/>
        <w:jc w:val="both"/>
        <w:rPr>
          <w:rFonts w:ascii="Arial Nova" w:eastAsia="Arial" w:hAnsi="Arial Nova"/>
          <w:color w:val="000000" w:themeColor="text1"/>
        </w:rPr>
      </w:pPr>
    </w:p>
    <w:p w14:paraId="2513EA1D" w14:textId="77777777" w:rsidR="005D62D8" w:rsidRPr="00A418F2" w:rsidRDefault="005D62D8" w:rsidP="006C593A">
      <w:pPr>
        <w:pStyle w:val="ListParagraph"/>
        <w:numPr>
          <w:ilvl w:val="2"/>
          <w:numId w:val="24"/>
        </w:numPr>
        <w:spacing w:after="120" w:line="240" w:lineRule="auto"/>
        <w:ind w:left="900"/>
        <w:mirrorIndents/>
        <w:jc w:val="both"/>
        <w:rPr>
          <w:rFonts w:ascii="Arial Nova" w:eastAsia="Arial" w:hAnsi="Arial Nova"/>
          <w:color w:val="000000" w:themeColor="text1"/>
        </w:rPr>
      </w:pPr>
      <w:r w:rsidRPr="00A418F2">
        <w:rPr>
          <w:rFonts w:ascii="Arial Nova" w:eastAsia="Arial" w:hAnsi="Arial Nova"/>
          <w:color w:val="000000" w:themeColor="text1"/>
        </w:rPr>
        <w:t>Policy, Procedure, Documentation and Process Review/ Assessment</w:t>
      </w:r>
    </w:p>
    <w:p w14:paraId="080915CF" w14:textId="77777777" w:rsidR="005D62D8" w:rsidRPr="00A418F2" w:rsidRDefault="005D62D8" w:rsidP="006C593A">
      <w:pPr>
        <w:pStyle w:val="ListParagraph"/>
        <w:numPr>
          <w:ilvl w:val="2"/>
          <w:numId w:val="24"/>
        </w:numPr>
        <w:tabs>
          <w:tab w:val="left" w:pos="1767"/>
        </w:tabs>
        <w:spacing w:after="120" w:line="240" w:lineRule="auto"/>
        <w:ind w:left="900"/>
        <w:mirrorIndents/>
        <w:jc w:val="both"/>
        <w:rPr>
          <w:rFonts w:ascii="Arial Nova" w:eastAsia="Arial" w:hAnsi="Arial Nova"/>
          <w:color w:val="000000" w:themeColor="text1"/>
        </w:rPr>
      </w:pPr>
      <w:r w:rsidRPr="00A418F2">
        <w:rPr>
          <w:rFonts w:ascii="Arial Nova" w:eastAsia="Arial" w:hAnsi="Arial Nova"/>
          <w:color w:val="000000" w:themeColor="text1"/>
        </w:rPr>
        <w:t>Infrastructure Architecture Security Review and Defence-In-Depth Analysis</w:t>
      </w:r>
    </w:p>
    <w:p w14:paraId="5F964D4F" w14:textId="77777777" w:rsidR="005D62D8" w:rsidRPr="00A418F2" w:rsidRDefault="005D62D8" w:rsidP="006C593A">
      <w:pPr>
        <w:pStyle w:val="ListParagraph"/>
        <w:numPr>
          <w:ilvl w:val="2"/>
          <w:numId w:val="24"/>
        </w:numPr>
        <w:tabs>
          <w:tab w:val="left" w:pos="1767"/>
        </w:tabs>
        <w:spacing w:after="120" w:line="240" w:lineRule="auto"/>
        <w:ind w:left="900"/>
        <w:mirrorIndents/>
        <w:jc w:val="both"/>
        <w:rPr>
          <w:rFonts w:ascii="Arial Nova" w:eastAsia="Arial" w:hAnsi="Arial Nova"/>
          <w:color w:val="000000" w:themeColor="text1"/>
        </w:rPr>
      </w:pPr>
      <w:r w:rsidRPr="00A418F2">
        <w:rPr>
          <w:rFonts w:ascii="Arial Nova" w:eastAsia="Arial" w:hAnsi="Arial Nova"/>
          <w:color w:val="000000" w:themeColor="text1"/>
        </w:rPr>
        <w:t>Security Operations Centre assessment and enhancement</w:t>
      </w:r>
    </w:p>
    <w:p w14:paraId="2420C8DC" w14:textId="77777777" w:rsidR="005D62D8" w:rsidRPr="00A418F2" w:rsidRDefault="005D62D8" w:rsidP="006C593A">
      <w:pPr>
        <w:pStyle w:val="ListParagraph"/>
        <w:numPr>
          <w:ilvl w:val="2"/>
          <w:numId w:val="24"/>
        </w:numPr>
        <w:tabs>
          <w:tab w:val="left" w:pos="1767"/>
        </w:tabs>
        <w:spacing w:after="120" w:line="240" w:lineRule="auto"/>
        <w:ind w:left="900"/>
        <w:mirrorIndents/>
        <w:jc w:val="both"/>
        <w:rPr>
          <w:rFonts w:ascii="Arial Nova" w:eastAsia="Arial" w:hAnsi="Arial Nova"/>
          <w:color w:val="000000" w:themeColor="text1"/>
        </w:rPr>
      </w:pPr>
      <w:r w:rsidRPr="00A418F2">
        <w:rPr>
          <w:rFonts w:ascii="Arial Nova" w:eastAsia="Arial" w:hAnsi="Arial Nova"/>
          <w:color w:val="000000" w:themeColor="text1"/>
        </w:rPr>
        <w:t>Security Metrics Program, KPI/KRI identification, recommendation/guidance for implementation dashboard visualization</w:t>
      </w:r>
    </w:p>
    <w:p w14:paraId="18C66EC0" w14:textId="77777777" w:rsidR="005D62D8" w:rsidRPr="00A418F2" w:rsidRDefault="005D62D8" w:rsidP="005D62D8">
      <w:pPr>
        <w:spacing w:after="120"/>
        <w:ind w:left="714"/>
        <w:mirrorIndents/>
        <w:jc w:val="both"/>
        <w:rPr>
          <w:rFonts w:ascii="Arial Nova" w:eastAsia="Arial" w:hAnsi="Arial Nova"/>
          <w:color w:val="000000" w:themeColor="text1"/>
        </w:rPr>
      </w:pPr>
    </w:p>
    <w:p w14:paraId="0F937287" w14:textId="77777777" w:rsidR="005D62D8" w:rsidRPr="00A418F2" w:rsidRDefault="005D62D8" w:rsidP="005D62D8">
      <w:pPr>
        <w:pStyle w:val="NoSpacing"/>
        <w:jc w:val="both"/>
        <w:rPr>
          <w:rFonts w:ascii="Arial Nova" w:hAnsi="Arial Nova" w:cs="Times New Roman"/>
          <w:color w:val="000000" w:themeColor="text1"/>
        </w:rPr>
      </w:pPr>
      <w:r w:rsidRPr="00A418F2">
        <w:rPr>
          <w:rFonts w:ascii="Arial Nova" w:hAnsi="Arial Nova" w:cs="Times New Roman"/>
          <w:color w:val="000000" w:themeColor="text1"/>
        </w:rPr>
        <w:t xml:space="preserve">Consultants shall assess information security gap in the existing practices, process, and systems by mapping of controls from the relevant cyber security standards including National Cybersecurity Reference Framework (NCRF), ISO/IEC 27001, ISO/IEC 27019, NIST CSF, IEC 62443, NERC CIP, MITRE D3FEND and any other relevant cyber security standard/framework at the time of gap assessment that addresses both IT and OT security requirements. Suggested, list of practices and processes are at </w:t>
      </w:r>
      <w:r w:rsidRPr="00A418F2">
        <w:rPr>
          <w:rFonts w:ascii="Arial Nova" w:hAnsi="Arial Nova" w:cs="Times New Roman"/>
          <w:b/>
          <w:bCs/>
          <w:color w:val="000000" w:themeColor="text1"/>
        </w:rPr>
        <w:t>Annexure-A</w:t>
      </w:r>
      <w:r w:rsidRPr="00A418F2">
        <w:rPr>
          <w:rFonts w:ascii="Arial Nova" w:hAnsi="Arial Nova" w:cs="Times New Roman"/>
          <w:color w:val="000000" w:themeColor="text1"/>
        </w:rPr>
        <w:t>. The consultants may also refer any other relevant standards for assessment purpose.</w:t>
      </w:r>
    </w:p>
    <w:p w14:paraId="269D500E" w14:textId="77777777" w:rsidR="005D62D8" w:rsidRPr="00A418F2" w:rsidRDefault="005D62D8" w:rsidP="005D62D8">
      <w:pPr>
        <w:pStyle w:val="NoSpacing"/>
        <w:jc w:val="both"/>
        <w:rPr>
          <w:rFonts w:ascii="Arial Nova" w:hAnsi="Arial Nova" w:cs="Times New Roman"/>
          <w:color w:val="000000" w:themeColor="text1"/>
        </w:rPr>
      </w:pPr>
    </w:p>
    <w:p w14:paraId="7C14E699" w14:textId="77777777" w:rsidR="005D62D8" w:rsidRPr="00A418F2" w:rsidRDefault="005D62D8" w:rsidP="005D62D8">
      <w:pPr>
        <w:pStyle w:val="NoSpacing"/>
        <w:jc w:val="both"/>
        <w:rPr>
          <w:rFonts w:ascii="Arial Nova" w:hAnsi="Arial Nova" w:cs="Times New Roman"/>
          <w:color w:val="000000" w:themeColor="text1"/>
        </w:rPr>
      </w:pPr>
      <w:r w:rsidRPr="00A418F2">
        <w:rPr>
          <w:rFonts w:ascii="Arial Nova" w:hAnsi="Arial Nova" w:cs="Times New Roman"/>
          <w:color w:val="000000" w:themeColor="text1"/>
        </w:rPr>
        <w:t xml:space="preserve">Recognizing the dynamic nature of cybersecurity regulations, frameworks, and compliance requirements and ensure continuous adherence to evolving security standards, POWERGRID intends to engage Subject Matter Experts (SMEs) for up to 100 man-days on requirement basis. </w:t>
      </w:r>
    </w:p>
    <w:p w14:paraId="48DF80A8" w14:textId="77777777" w:rsidR="005D62D8" w:rsidRPr="00A418F2" w:rsidRDefault="005D62D8" w:rsidP="005D62D8">
      <w:pPr>
        <w:pStyle w:val="NoSpacing"/>
        <w:jc w:val="both"/>
        <w:rPr>
          <w:rFonts w:ascii="Arial Nova" w:hAnsi="Arial Nova" w:cs="Times New Roman"/>
          <w:color w:val="000000" w:themeColor="text1"/>
        </w:rPr>
      </w:pPr>
    </w:p>
    <w:p w14:paraId="41577749" w14:textId="77777777" w:rsidR="005D62D8" w:rsidRPr="00A418F2" w:rsidRDefault="005D62D8" w:rsidP="005D62D8">
      <w:pPr>
        <w:pStyle w:val="NoSpacing"/>
        <w:jc w:val="both"/>
        <w:rPr>
          <w:rFonts w:ascii="Arial Nova" w:hAnsi="Arial Nova" w:cs="Times New Roman"/>
          <w:color w:val="000000" w:themeColor="text1"/>
        </w:rPr>
      </w:pPr>
      <w:r w:rsidRPr="00A418F2">
        <w:rPr>
          <w:rFonts w:ascii="Arial Nova" w:hAnsi="Arial Nova" w:cs="Times New Roman"/>
          <w:color w:val="000000" w:themeColor="text1"/>
        </w:rPr>
        <w:t>The detailed scope of work is as below:</w:t>
      </w:r>
    </w:p>
    <w:p w14:paraId="53880595" w14:textId="77777777" w:rsidR="005D62D8" w:rsidRPr="00A418F2" w:rsidRDefault="005D62D8" w:rsidP="005D62D8">
      <w:pPr>
        <w:spacing w:after="120"/>
        <w:jc w:val="both"/>
        <w:rPr>
          <w:rFonts w:ascii="Arial Nova" w:eastAsia="Arial" w:hAnsi="Arial Nova"/>
          <w:color w:val="000000" w:themeColor="text1"/>
        </w:rPr>
      </w:pPr>
    </w:p>
    <w:p w14:paraId="244B0BB5" w14:textId="77777777" w:rsidR="005D62D8" w:rsidRPr="00A418F2" w:rsidRDefault="005D62D8" w:rsidP="006C593A">
      <w:pPr>
        <w:pStyle w:val="ListParagraph"/>
        <w:numPr>
          <w:ilvl w:val="1"/>
          <w:numId w:val="11"/>
        </w:numPr>
        <w:spacing w:after="120" w:line="240" w:lineRule="auto"/>
        <w:ind w:left="567" w:hanging="215"/>
        <w:contextualSpacing w:val="0"/>
        <w:mirrorIndents/>
        <w:jc w:val="both"/>
        <w:rPr>
          <w:rFonts w:ascii="Arial Nova" w:eastAsia="Arial" w:hAnsi="Arial Nova"/>
          <w:b/>
          <w:bCs/>
          <w:color w:val="000000" w:themeColor="text1"/>
        </w:rPr>
      </w:pPr>
      <w:r w:rsidRPr="00A418F2">
        <w:rPr>
          <w:rFonts w:ascii="Arial Nova" w:eastAsia="Arial" w:hAnsi="Arial Nova"/>
          <w:b/>
          <w:bCs/>
          <w:color w:val="000000" w:themeColor="text1"/>
        </w:rPr>
        <w:t>Policy, Procedure, Documentation and Process Review/ Assessment</w:t>
      </w:r>
    </w:p>
    <w:p w14:paraId="6E0CEBC7" w14:textId="77777777" w:rsidR="005D62D8" w:rsidRPr="00A418F2" w:rsidRDefault="005D62D8" w:rsidP="005D62D8">
      <w:pPr>
        <w:spacing w:after="120"/>
        <w:jc w:val="both"/>
        <w:rPr>
          <w:rFonts w:ascii="Arial Nova" w:eastAsia="Arial" w:hAnsi="Arial Nova"/>
          <w:color w:val="000000" w:themeColor="text1"/>
        </w:rPr>
      </w:pPr>
      <w:r w:rsidRPr="00A418F2">
        <w:rPr>
          <w:rFonts w:ascii="Arial Nova" w:eastAsia="Arial" w:hAnsi="Arial Nova"/>
          <w:color w:val="000000" w:themeColor="text1"/>
        </w:rPr>
        <w:t xml:space="preserve">The scope includes the assessment of policies and procedures alignment across different operational and compliance frameworks and its effectiveness in the following areas but not limited to: </w:t>
      </w:r>
    </w:p>
    <w:p w14:paraId="00BE2702" w14:textId="77777777" w:rsidR="005D62D8" w:rsidRPr="00A418F2" w:rsidRDefault="005D62D8" w:rsidP="006C593A">
      <w:pPr>
        <w:pStyle w:val="ListParagraph"/>
        <w:numPr>
          <w:ilvl w:val="1"/>
          <w:numId w:val="5"/>
        </w:numPr>
        <w:spacing w:after="0" w:line="240" w:lineRule="auto"/>
        <w:ind w:left="1080"/>
        <w:contextualSpacing w:val="0"/>
        <w:jc w:val="both"/>
        <w:rPr>
          <w:rFonts w:ascii="Arial Nova" w:eastAsia="Arial" w:hAnsi="Arial Nova"/>
          <w:color w:val="000000" w:themeColor="text1"/>
        </w:rPr>
      </w:pPr>
      <w:r w:rsidRPr="00A418F2">
        <w:rPr>
          <w:rFonts w:ascii="Arial Nova" w:eastAsia="Arial" w:hAnsi="Arial Nova"/>
          <w:b/>
          <w:bCs/>
          <w:color w:val="000000" w:themeColor="text1"/>
        </w:rPr>
        <w:t>Governance Framework:</w:t>
      </w:r>
      <w:r w:rsidRPr="00A418F2">
        <w:rPr>
          <w:rFonts w:ascii="Arial Nova" w:eastAsia="Arial" w:hAnsi="Arial Nova"/>
          <w:color w:val="000000" w:themeColor="text1"/>
        </w:rPr>
        <w:t xml:space="preserve"> Policy management and oversight structures </w:t>
      </w:r>
    </w:p>
    <w:p w14:paraId="19EB38FE" w14:textId="77777777" w:rsidR="005D62D8" w:rsidRPr="00A418F2" w:rsidRDefault="005D62D8" w:rsidP="006C593A">
      <w:pPr>
        <w:pStyle w:val="ListParagraph"/>
        <w:numPr>
          <w:ilvl w:val="2"/>
          <w:numId w:val="5"/>
        </w:numPr>
        <w:spacing w:after="0" w:line="240" w:lineRule="auto"/>
        <w:ind w:left="1800"/>
        <w:contextualSpacing w:val="0"/>
        <w:jc w:val="both"/>
        <w:rPr>
          <w:rFonts w:ascii="Arial Nova" w:eastAsia="Arial" w:hAnsi="Arial Nova"/>
          <w:color w:val="000000" w:themeColor="text1"/>
        </w:rPr>
      </w:pPr>
      <w:r w:rsidRPr="00A418F2">
        <w:rPr>
          <w:rFonts w:ascii="Arial Nova" w:eastAsia="Arial" w:hAnsi="Arial Nova"/>
          <w:color w:val="000000" w:themeColor="text1"/>
        </w:rPr>
        <w:t>Policy reviews and approval processes</w:t>
      </w:r>
    </w:p>
    <w:p w14:paraId="6FF623C4" w14:textId="77777777" w:rsidR="005D62D8" w:rsidRPr="00A418F2" w:rsidRDefault="005D62D8" w:rsidP="006C593A">
      <w:pPr>
        <w:pStyle w:val="ListParagraph"/>
        <w:numPr>
          <w:ilvl w:val="2"/>
          <w:numId w:val="5"/>
        </w:numPr>
        <w:spacing w:after="0" w:line="240" w:lineRule="auto"/>
        <w:ind w:left="1800"/>
        <w:contextualSpacing w:val="0"/>
        <w:jc w:val="both"/>
        <w:rPr>
          <w:rFonts w:ascii="Arial Nova" w:eastAsia="Arial" w:hAnsi="Arial Nova"/>
          <w:color w:val="000000" w:themeColor="text1"/>
        </w:rPr>
      </w:pPr>
      <w:r w:rsidRPr="00A418F2">
        <w:rPr>
          <w:rFonts w:ascii="Arial Nova" w:eastAsia="Arial" w:hAnsi="Arial Nova"/>
          <w:color w:val="000000" w:themeColor="text1"/>
        </w:rPr>
        <w:t>Compliance monitoring procedures</w:t>
      </w:r>
    </w:p>
    <w:p w14:paraId="50C70416" w14:textId="77777777" w:rsidR="005D62D8" w:rsidRPr="00A418F2" w:rsidRDefault="005D62D8" w:rsidP="006C593A">
      <w:pPr>
        <w:pStyle w:val="ListParagraph"/>
        <w:numPr>
          <w:ilvl w:val="2"/>
          <w:numId w:val="5"/>
        </w:numPr>
        <w:spacing w:after="0" w:line="240" w:lineRule="auto"/>
        <w:ind w:left="1800"/>
        <w:contextualSpacing w:val="0"/>
        <w:jc w:val="both"/>
        <w:rPr>
          <w:rFonts w:ascii="Arial Nova" w:eastAsia="Arial" w:hAnsi="Arial Nova"/>
          <w:color w:val="000000" w:themeColor="text1"/>
        </w:rPr>
      </w:pPr>
      <w:r w:rsidRPr="00A418F2">
        <w:rPr>
          <w:rFonts w:ascii="Arial Nova" w:eastAsia="Arial" w:hAnsi="Arial Nova"/>
          <w:color w:val="000000" w:themeColor="text1"/>
        </w:rPr>
        <w:t>Exception management protocols</w:t>
      </w:r>
    </w:p>
    <w:p w14:paraId="7DF4952F" w14:textId="77777777" w:rsidR="005D62D8" w:rsidRPr="00A418F2" w:rsidRDefault="005D62D8" w:rsidP="006C593A">
      <w:pPr>
        <w:pStyle w:val="ListParagraph"/>
        <w:numPr>
          <w:ilvl w:val="2"/>
          <w:numId w:val="5"/>
        </w:numPr>
        <w:spacing w:after="0" w:line="240" w:lineRule="auto"/>
        <w:ind w:left="1800"/>
        <w:contextualSpacing w:val="0"/>
        <w:jc w:val="both"/>
        <w:rPr>
          <w:rFonts w:ascii="Arial Nova" w:eastAsia="Arial" w:hAnsi="Arial Nova"/>
          <w:color w:val="000000" w:themeColor="text1"/>
        </w:rPr>
      </w:pPr>
      <w:r w:rsidRPr="00A418F2">
        <w:rPr>
          <w:rFonts w:ascii="Arial Nova" w:eastAsia="Arial" w:hAnsi="Arial Nova"/>
          <w:color w:val="000000" w:themeColor="text1"/>
        </w:rPr>
        <w:t xml:space="preserve">standardized policy formats and structures </w:t>
      </w:r>
    </w:p>
    <w:p w14:paraId="2B0C1A12" w14:textId="77777777" w:rsidR="005D62D8" w:rsidRPr="00A418F2" w:rsidRDefault="005D62D8" w:rsidP="006C593A">
      <w:pPr>
        <w:pStyle w:val="ListParagraph"/>
        <w:numPr>
          <w:ilvl w:val="1"/>
          <w:numId w:val="5"/>
        </w:numPr>
        <w:spacing w:after="0" w:line="240" w:lineRule="auto"/>
        <w:ind w:left="1080"/>
        <w:contextualSpacing w:val="0"/>
        <w:jc w:val="both"/>
        <w:rPr>
          <w:rFonts w:ascii="Arial Nova" w:eastAsia="Arial" w:hAnsi="Arial Nova"/>
          <w:color w:val="000000" w:themeColor="text1"/>
        </w:rPr>
      </w:pPr>
      <w:r w:rsidRPr="00A418F2">
        <w:rPr>
          <w:rFonts w:ascii="Arial Nova" w:eastAsia="Arial" w:hAnsi="Arial Nova"/>
          <w:b/>
          <w:bCs/>
          <w:color w:val="000000" w:themeColor="text1"/>
        </w:rPr>
        <w:t>Implementation Guidelines:</w:t>
      </w:r>
      <w:r w:rsidRPr="00A418F2">
        <w:rPr>
          <w:rFonts w:ascii="Arial Nova" w:eastAsia="Arial" w:hAnsi="Arial Nova"/>
          <w:color w:val="000000" w:themeColor="text1"/>
        </w:rPr>
        <w:t xml:space="preserve"> Development of practical implementation guidance.</w:t>
      </w:r>
    </w:p>
    <w:p w14:paraId="0A50F0E5" w14:textId="77777777" w:rsidR="005D62D8" w:rsidRPr="00A418F2" w:rsidRDefault="005D62D8" w:rsidP="006C593A">
      <w:pPr>
        <w:pStyle w:val="ListParagraph"/>
        <w:numPr>
          <w:ilvl w:val="1"/>
          <w:numId w:val="5"/>
        </w:numPr>
        <w:spacing w:after="0" w:line="240" w:lineRule="auto"/>
        <w:ind w:left="1080"/>
        <w:contextualSpacing w:val="0"/>
        <w:jc w:val="both"/>
        <w:rPr>
          <w:rFonts w:ascii="Arial Nova" w:eastAsia="Arial" w:hAnsi="Arial Nova"/>
          <w:color w:val="000000" w:themeColor="text1"/>
        </w:rPr>
      </w:pPr>
      <w:r w:rsidRPr="00A418F2">
        <w:rPr>
          <w:rFonts w:ascii="Arial Nova" w:eastAsia="Arial" w:hAnsi="Arial Nova"/>
          <w:b/>
          <w:bCs/>
          <w:color w:val="000000" w:themeColor="text1"/>
        </w:rPr>
        <w:t xml:space="preserve">Technical configuration standards: </w:t>
      </w:r>
      <w:r w:rsidRPr="00A418F2">
        <w:rPr>
          <w:rFonts w:ascii="Arial Nova" w:eastAsia="Arial" w:hAnsi="Arial Nova"/>
          <w:color w:val="000000" w:themeColor="text1"/>
        </w:rPr>
        <w:t>Review of the organization's technical configuration guidelines to ensure they align with industry best practices and security requirements.</w:t>
      </w:r>
    </w:p>
    <w:p w14:paraId="5E363830" w14:textId="77777777" w:rsidR="005D62D8" w:rsidRPr="00A418F2" w:rsidRDefault="005D62D8" w:rsidP="006C593A">
      <w:pPr>
        <w:pStyle w:val="ListParagraph"/>
        <w:numPr>
          <w:ilvl w:val="1"/>
          <w:numId w:val="5"/>
        </w:numPr>
        <w:spacing w:after="0" w:line="240" w:lineRule="auto"/>
        <w:ind w:left="1080"/>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 xml:space="preserve">Operational procedures: </w:t>
      </w:r>
      <w:r w:rsidRPr="00A418F2">
        <w:rPr>
          <w:rFonts w:ascii="Arial Nova" w:eastAsia="Arial" w:hAnsi="Arial Nova"/>
          <w:color w:val="000000" w:themeColor="text1"/>
        </w:rPr>
        <w:t>Assessment of existing operational procedures to verify their effectiveness in maintaining security, performance, and compliance across the organization.</w:t>
      </w:r>
    </w:p>
    <w:p w14:paraId="61166FB7" w14:textId="77777777" w:rsidR="005D62D8" w:rsidRPr="00A418F2" w:rsidRDefault="005D62D8" w:rsidP="006C593A">
      <w:pPr>
        <w:pStyle w:val="ListParagraph"/>
        <w:numPr>
          <w:ilvl w:val="1"/>
          <w:numId w:val="5"/>
        </w:numPr>
        <w:spacing w:after="0" w:line="240" w:lineRule="auto"/>
        <w:ind w:left="1080"/>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 xml:space="preserve">Compliance validation methods: </w:t>
      </w:r>
      <w:r w:rsidRPr="00A418F2">
        <w:rPr>
          <w:rFonts w:ascii="Arial Nova" w:eastAsia="Arial" w:hAnsi="Arial Nova"/>
          <w:color w:val="000000" w:themeColor="text1"/>
        </w:rPr>
        <w:t>Evaluation of the methods used to validate compliance with relevant standards and regulations, ensuring that the organization consistently meets required security and operational benchmarks.</w:t>
      </w:r>
    </w:p>
    <w:p w14:paraId="0E559479" w14:textId="77777777" w:rsidR="005D62D8" w:rsidRPr="00A418F2" w:rsidRDefault="005D62D8" w:rsidP="006C593A">
      <w:pPr>
        <w:pStyle w:val="ListParagraph"/>
        <w:numPr>
          <w:ilvl w:val="2"/>
          <w:numId w:val="11"/>
        </w:numPr>
        <w:spacing w:after="120" w:line="240" w:lineRule="auto"/>
        <w:jc w:val="both"/>
        <w:rPr>
          <w:rFonts w:ascii="Arial Nova" w:eastAsia="Arial" w:hAnsi="Arial Nova"/>
          <w:b/>
          <w:bCs/>
          <w:color w:val="000000" w:themeColor="text1"/>
        </w:rPr>
      </w:pPr>
      <w:r w:rsidRPr="00A418F2">
        <w:rPr>
          <w:rFonts w:ascii="Arial Nova" w:eastAsia="Arial" w:hAnsi="Arial Nova"/>
          <w:b/>
          <w:bCs/>
          <w:color w:val="000000" w:themeColor="text1"/>
        </w:rPr>
        <w:lastRenderedPageBreak/>
        <w:t>Documentation Management</w:t>
      </w:r>
    </w:p>
    <w:p w14:paraId="042DA5A6" w14:textId="77777777" w:rsidR="005D62D8" w:rsidRPr="00A418F2" w:rsidRDefault="005D62D8" w:rsidP="005D62D8">
      <w:pPr>
        <w:spacing w:after="120"/>
        <w:ind w:left="993"/>
        <w:jc w:val="both"/>
        <w:rPr>
          <w:rFonts w:ascii="Arial Nova" w:eastAsia="Arial" w:hAnsi="Arial Nova"/>
          <w:color w:val="000000" w:themeColor="text1"/>
        </w:rPr>
      </w:pPr>
      <w:r w:rsidRPr="00A418F2">
        <w:rPr>
          <w:rFonts w:ascii="Arial Nova" w:eastAsia="Arial" w:hAnsi="Arial Nova"/>
          <w:color w:val="000000" w:themeColor="text1"/>
        </w:rPr>
        <w:t xml:space="preserve">POWERGRID’s documentation management establishes systematic processes for maintaining, updating, and distributing security documentation across the organization. This comprehensive approach ensures that all security-related documentation remains current, accessible, and effectively supports operational requirements. </w:t>
      </w:r>
    </w:p>
    <w:p w14:paraId="663893EA" w14:textId="77777777" w:rsidR="005D62D8" w:rsidRPr="00A418F2" w:rsidRDefault="005D62D8" w:rsidP="005D62D8">
      <w:pPr>
        <w:spacing w:after="120"/>
        <w:ind w:left="993"/>
        <w:jc w:val="both"/>
        <w:rPr>
          <w:rFonts w:ascii="Arial Nova" w:eastAsia="Arial" w:hAnsi="Arial Nova"/>
          <w:color w:val="000000" w:themeColor="text1"/>
        </w:rPr>
      </w:pPr>
      <w:r w:rsidRPr="00A418F2">
        <w:rPr>
          <w:rFonts w:ascii="Arial Nova" w:eastAsia="Arial" w:hAnsi="Arial Nova"/>
          <w:color w:val="000000" w:themeColor="text1"/>
        </w:rPr>
        <w:t>The scope includes the review/assessment of workflows to streamline documentation maintenance and distribution while ensuring version control and access management. Consultants shall review/assessment of documentation accuracy and relevance through regular review cycles and update procedures. This also includes mechanisms for tracking document versions, managing access controls, and ensuring timely distribution of updates.</w:t>
      </w:r>
    </w:p>
    <w:p w14:paraId="238F6435" w14:textId="77777777" w:rsidR="005D62D8" w:rsidRPr="00A418F2" w:rsidRDefault="005D62D8" w:rsidP="006C593A">
      <w:pPr>
        <w:pStyle w:val="ListParagraph"/>
        <w:numPr>
          <w:ilvl w:val="2"/>
          <w:numId w:val="11"/>
        </w:numPr>
        <w:spacing w:after="120" w:line="240" w:lineRule="auto"/>
        <w:jc w:val="both"/>
        <w:rPr>
          <w:rFonts w:ascii="Arial Nova" w:eastAsia="Arial" w:hAnsi="Arial Nova"/>
          <w:b/>
          <w:bCs/>
          <w:color w:val="000000" w:themeColor="text1"/>
        </w:rPr>
      </w:pPr>
      <w:r w:rsidRPr="00A418F2">
        <w:rPr>
          <w:rFonts w:ascii="Arial Nova" w:eastAsia="Arial" w:hAnsi="Arial Nova"/>
          <w:b/>
          <w:bCs/>
          <w:color w:val="000000" w:themeColor="text1"/>
        </w:rPr>
        <w:t>Expected Outcome:</w:t>
      </w:r>
    </w:p>
    <w:p w14:paraId="4F0403D2" w14:textId="77777777" w:rsidR="005D62D8" w:rsidRPr="00A418F2" w:rsidRDefault="005D62D8" w:rsidP="005D62D8">
      <w:pPr>
        <w:pStyle w:val="ListParagraph"/>
        <w:spacing w:after="120"/>
        <w:ind w:left="1086"/>
        <w:jc w:val="both"/>
        <w:rPr>
          <w:rFonts w:ascii="Arial Nova" w:eastAsia="Arial" w:hAnsi="Arial Nova"/>
          <w:color w:val="000000" w:themeColor="text1"/>
        </w:rPr>
      </w:pPr>
      <w:r w:rsidRPr="00A418F2">
        <w:rPr>
          <w:rFonts w:ascii="Arial Nova" w:eastAsia="Arial" w:hAnsi="Arial Nova"/>
          <w:color w:val="000000" w:themeColor="text1"/>
        </w:rPr>
        <w:t>Each year, the consultants shall conduct an evaluation of POWERGRID’s existing policies, procedures, and controls, followed by the submission of an assessment report. They shall identify security gaps against NCRF, ISO/IEC 27001, ISO/IEC 27019, NIST CSF, IEC 62443, NERC CIP, MITRE D3FEND, or any other relevant cybersecurity standard/framework applicable at the time of assessment and submit a policy gap analysis report. Based on the identified gaps, they shall provide recommendations for mitigation. Additionally, after POWERGRID completes the necessary compliance activities, the consultants shall validate the implementation and effectiveness of these measures.</w:t>
      </w:r>
    </w:p>
    <w:p w14:paraId="68135C77" w14:textId="77777777" w:rsidR="005D62D8" w:rsidRPr="00A418F2" w:rsidRDefault="005D62D8" w:rsidP="006C593A">
      <w:pPr>
        <w:pStyle w:val="ListParagraph"/>
        <w:numPr>
          <w:ilvl w:val="1"/>
          <w:numId w:val="11"/>
        </w:numPr>
        <w:spacing w:after="120" w:line="240" w:lineRule="auto"/>
        <w:contextualSpacing w:val="0"/>
        <w:mirrorIndents/>
        <w:jc w:val="both"/>
        <w:rPr>
          <w:rFonts w:ascii="Arial Nova" w:eastAsia="Arial" w:hAnsi="Arial Nova"/>
          <w:b/>
          <w:bCs/>
          <w:color w:val="000000" w:themeColor="text1"/>
        </w:rPr>
      </w:pPr>
      <w:r w:rsidRPr="00A418F2">
        <w:rPr>
          <w:rFonts w:ascii="Arial Nova" w:eastAsia="Arial" w:hAnsi="Arial Nova"/>
          <w:b/>
          <w:bCs/>
          <w:color w:val="000000" w:themeColor="text1"/>
        </w:rPr>
        <w:t>Infrastructure Architecture Security Review and Defence-In-Depth Analysis</w:t>
      </w:r>
    </w:p>
    <w:p w14:paraId="49CF1E84"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 xml:space="preserve">Information Security Consultant shall perform evaluation of existing SOC capabilities, including people, processes, and technology components in the existing architecture of IT and OT system </w:t>
      </w:r>
      <w:r w:rsidRPr="00A418F2">
        <w:rPr>
          <w:rFonts w:ascii="Arial Nova" w:hAnsi="Arial Nova"/>
          <w:color w:val="000000" w:themeColor="text1"/>
        </w:rPr>
        <w:t xml:space="preserve">as per controls taken from the </w:t>
      </w:r>
      <w:r w:rsidRPr="00A418F2">
        <w:rPr>
          <w:rFonts w:ascii="Arial Nova" w:eastAsia="Arial" w:hAnsi="Arial Nova"/>
          <w:color w:val="000000" w:themeColor="text1"/>
        </w:rPr>
        <w:t xml:space="preserve">relevant cyber security standards including National Cybersecurity Reference Framework (NCRF), ISO/IEC 27001, ISO/IEC 27019, NIST CSF, IEC 62443, NERC </w:t>
      </w:r>
      <w:proofErr w:type="gramStart"/>
      <w:r w:rsidRPr="00A418F2">
        <w:rPr>
          <w:rFonts w:ascii="Arial Nova" w:eastAsia="Arial" w:hAnsi="Arial Nova"/>
          <w:color w:val="000000" w:themeColor="text1"/>
        </w:rPr>
        <w:t>CIP</w:t>
      </w:r>
      <w:proofErr w:type="gramEnd"/>
      <w:r w:rsidRPr="00A418F2">
        <w:rPr>
          <w:rFonts w:ascii="Arial Nova" w:eastAsia="Arial" w:hAnsi="Arial Nova"/>
          <w:color w:val="000000" w:themeColor="text1"/>
        </w:rPr>
        <w:t xml:space="preserve"> and MITRE D3FEND that addresses both IT and OT security requirements. </w:t>
      </w:r>
    </w:p>
    <w:p w14:paraId="29D28D43" w14:textId="77777777" w:rsidR="005D62D8" w:rsidRPr="00A418F2" w:rsidRDefault="005D62D8" w:rsidP="006C593A">
      <w:pPr>
        <w:pStyle w:val="ListParagraph"/>
        <w:numPr>
          <w:ilvl w:val="2"/>
          <w:numId w:val="11"/>
        </w:numPr>
        <w:spacing w:after="120" w:line="240" w:lineRule="auto"/>
        <w:contextualSpacing w:val="0"/>
        <w:mirrorIndents/>
        <w:jc w:val="both"/>
        <w:rPr>
          <w:rFonts w:ascii="Arial Nova" w:eastAsia="Arial" w:hAnsi="Arial Nova"/>
          <w:b/>
          <w:bCs/>
          <w:color w:val="000000" w:themeColor="text1"/>
        </w:rPr>
      </w:pPr>
      <w:r w:rsidRPr="00A418F2">
        <w:rPr>
          <w:rFonts w:ascii="Arial Nova" w:eastAsia="Arial" w:hAnsi="Arial Nova"/>
          <w:b/>
          <w:bCs/>
          <w:color w:val="000000" w:themeColor="text1"/>
        </w:rPr>
        <w:t>Architecture Review and Assessment for ERP and IT</w:t>
      </w:r>
    </w:p>
    <w:p w14:paraId="0D821EFB"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The architecture review process shall examine network architecture, system configurations, security controls, and integration points to identify potential vulnerabilities and areas for improvement. POWERGRID is regularly carrying out VA/PT audit. The assessment methodology shall incorporate review of report of VA/PT, manual configuration review, and architecture analysis to ensure thorough coverage of all infrastructure components.</w:t>
      </w:r>
    </w:p>
    <w:p w14:paraId="53EB3C47"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 xml:space="preserve">The review process </w:t>
      </w:r>
      <w:proofErr w:type="spellStart"/>
      <w:r w:rsidRPr="00A418F2">
        <w:rPr>
          <w:rFonts w:ascii="Arial Nova" w:eastAsia="Arial" w:hAnsi="Arial Nova"/>
          <w:color w:val="000000" w:themeColor="text1"/>
        </w:rPr>
        <w:t>emphasises</w:t>
      </w:r>
      <w:proofErr w:type="spellEnd"/>
      <w:r w:rsidRPr="00A418F2">
        <w:rPr>
          <w:rFonts w:ascii="Arial Nova" w:eastAsia="Arial" w:hAnsi="Arial Nova"/>
          <w:color w:val="000000" w:themeColor="text1"/>
        </w:rPr>
        <w:t xml:space="preserve"> the identification of security gaps, architectural weaknesses, and potential improvements that could enhance overall security posture. Consultants shall be given to critical systems and data flows, ensuring that security controls are appropriately implemented and effectively protecting sensitive assets.</w:t>
      </w:r>
    </w:p>
    <w:p w14:paraId="0274595F"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Assessment Components not limited to the following:</w:t>
      </w:r>
    </w:p>
    <w:p w14:paraId="4495425D" w14:textId="77777777" w:rsidR="005D62D8" w:rsidRPr="00A418F2" w:rsidRDefault="005D62D8" w:rsidP="006C593A">
      <w:pPr>
        <w:pStyle w:val="ListParagraph"/>
        <w:numPr>
          <w:ilvl w:val="0"/>
          <w:numId w:val="3"/>
        </w:numPr>
        <w:spacing w:after="0" w:line="240" w:lineRule="auto"/>
        <w:ind w:left="1434"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Network Architecture Analysis:</w:t>
      </w:r>
      <w:r w:rsidRPr="00A418F2">
        <w:rPr>
          <w:rFonts w:ascii="Arial Nova" w:eastAsia="Arial" w:hAnsi="Arial Nova"/>
          <w:color w:val="000000" w:themeColor="text1"/>
        </w:rPr>
        <w:t xml:space="preserve"> Detailed review of network segmentation, routing policies, and security controls. Evaluate infrastructure alignment with the Zero Trust Model.</w:t>
      </w:r>
    </w:p>
    <w:p w14:paraId="2D1FD41D" w14:textId="77777777" w:rsidR="005D62D8" w:rsidRPr="00A418F2" w:rsidRDefault="005D62D8" w:rsidP="006C593A">
      <w:pPr>
        <w:pStyle w:val="ListParagraph"/>
        <w:numPr>
          <w:ilvl w:val="0"/>
          <w:numId w:val="3"/>
        </w:numPr>
        <w:spacing w:after="0" w:line="240" w:lineRule="auto"/>
        <w:ind w:left="1434" w:hanging="357"/>
        <w:jc w:val="both"/>
        <w:rPr>
          <w:rFonts w:ascii="Arial Nova" w:eastAsia="Arial" w:hAnsi="Arial Nova"/>
          <w:color w:val="000000" w:themeColor="text1"/>
        </w:rPr>
      </w:pPr>
      <w:r w:rsidRPr="00A418F2">
        <w:rPr>
          <w:rFonts w:ascii="Arial Nova" w:eastAsia="Arial" w:hAnsi="Arial Nova"/>
          <w:b/>
          <w:bCs/>
          <w:color w:val="000000" w:themeColor="text1"/>
        </w:rPr>
        <w:lastRenderedPageBreak/>
        <w:t>System Configuration Assessment:</w:t>
      </w:r>
      <w:r w:rsidRPr="00A418F2">
        <w:rPr>
          <w:rFonts w:ascii="Arial Nova" w:eastAsia="Arial" w:hAnsi="Arial Nova"/>
          <w:color w:val="000000" w:themeColor="text1"/>
        </w:rPr>
        <w:t xml:space="preserve"> Evaluation of system hardening practices, patch management practices and security configuration settings methodology.</w:t>
      </w:r>
    </w:p>
    <w:p w14:paraId="39191D59" w14:textId="77777777" w:rsidR="005D62D8" w:rsidRPr="00A418F2" w:rsidRDefault="005D62D8" w:rsidP="006C593A">
      <w:pPr>
        <w:pStyle w:val="ListParagraph"/>
        <w:numPr>
          <w:ilvl w:val="0"/>
          <w:numId w:val="3"/>
        </w:numPr>
        <w:spacing w:after="0" w:line="240" w:lineRule="auto"/>
        <w:ind w:left="1434"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Access Control Review:</w:t>
      </w:r>
      <w:r w:rsidRPr="00A418F2">
        <w:rPr>
          <w:rFonts w:ascii="Arial Nova" w:eastAsia="Arial" w:hAnsi="Arial Nova"/>
          <w:color w:val="000000" w:themeColor="text1"/>
        </w:rPr>
        <w:t xml:space="preserve"> Analysis of authentication mechanisms, authorization policies, and privilege management.</w:t>
      </w:r>
    </w:p>
    <w:p w14:paraId="1387BDBF" w14:textId="77777777" w:rsidR="005D62D8" w:rsidRPr="00A418F2" w:rsidRDefault="005D62D8" w:rsidP="006C593A">
      <w:pPr>
        <w:pStyle w:val="ListParagraph"/>
        <w:numPr>
          <w:ilvl w:val="0"/>
          <w:numId w:val="3"/>
        </w:numPr>
        <w:spacing w:after="0" w:line="240" w:lineRule="auto"/>
        <w:ind w:left="1434"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Security Control Validation:</w:t>
      </w:r>
      <w:r w:rsidRPr="00A418F2">
        <w:rPr>
          <w:rFonts w:ascii="Arial Nova" w:eastAsia="Arial" w:hAnsi="Arial Nova"/>
          <w:color w:val="000000" w:themeColor="text1"/>
        </w:rPr>
        <w:t xml:space="preserve"> Testing of implemented security controls and protective measures.</w:t>
      </w:r>
    </w:p>
    <w:p w14:paraId="5986F6C4" w14:textId="77777777" w:rsidR="005D62D8" w:rsidRPr="00A418F2" w:rsidRDefault="005D62D8" w:rsidP="006C593A">
      <w:pPr>
        <w:pStyle w:val="ListParagraph"/>
        <w:numPr>
          <w:ilvl w:val="0"/>
          <w:numId w:val="3"/>
        </w:numPr>
        <w:spacing w:after="0" w:line="240" w:lineRule="auto"/>
        <w:ind w:left="1434"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Integration Point Security:</w:t>
      </w:r>
      <w:r w:rsidRPr="00A418F2">
        <w:rPr>
          <w:rFonts w:ascii="Arial Nova" w:eastAsia="Arial" w:hAnsi="Arial Nova"/>
          <w:color w:val="000000" w:themeColor="text1"/>
        </w:rPr>
        <w:t xml:space="preserve"> Assessment of security measures at system and network integration points.</w:t>
      </w:r>
    </w:p>
    <w:p w14:paraId="38F155D4" w14:textId="77777777" w:rsidR="005D62D8" w:rsidRPr="00A418F2" w:rsidRDefault="005D62D8" w:rsidP="006C593A">
      <w:pPr>
        <w:pStyle w:val="ListParagraph"/>
        <w:numPr>
          <w:ilvl w:val="2"/>
          <w:numId w:val="11"/>
        </w:numPr>
        <w:spacing w:after="120" w:line="240" w:lineRule="auto"/>
        <w:contextualSpacing w:val="0"/>
        <w:mirrorIndents/>
        <w:jc w:val="both"/>
        <w:rPr>
          <w:rFonts w:ascii="Arial Nova" w:eastAsia="Arial" w:hAnsi="Arial Nova"/>
          <w:b/>
          <w:bCs/>
          <w:color w:val="000000" w:themeColor="text1"/>
        </w:rPr>
      </w:pPr>
      <w:r w:rsidRPr="00A418F2">
        <w:rPr>
          <w:rFonts w:ascii="Arial Nova" w:eastAsia="Arial" w:hAnsi="Arial Nova"/>
          <w:b/>
          <w:bCs/>
          <w:color w:val="000000" w:themeColor="text1"/>
        </w:rPr>
        <w:t>OT Architecture Review and Assessment</w:t>
      </w:r>
    </w:p>
    <w:p w14:paraId="1D768122"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The Operational Technology (OT) evaluation shall focus on assessing the security and identification of security gaps of POWERGRID OT infrastructure control systems at Substation level as well as Remote Control Centre level. The evaluation methodology shall incorporate specialized testing techniques designed specifically for POWERGRID OT network, considering their unique operational requirements and constraints. Consultants shall conduct review and assessment for the following verticals each year:</w:t>
      </w:r>
    </w:p>
    <w:p w14:paraId="6644A408" w14:textId="77777777" w:rsidR="005D62D8" w:rsidRPr="00A418F2" w:rsidRDefault="005D62D8" w:rsidP="006C593A">
      <w:pPr>
        <w:pStyle w:val="ListParagraph"/>
        <w:numPr>
          <w:ilvl w:val="0"/>
          <w:numId w:val="2"/>
        </w:numPr>
        <w:spacing w:after="120" w:line="240" w:lineRule="auto"/>
        <w:ind w:left="1614"/>
        <w:jc w:val="both"/>
        <w:rPr>
          <w:rFonts w:ascii="Arial Nova" w:eastAsia="Arial" w:hAnsi="Arial Nova"/>
          <w:color w:val="000000" w:themeColor="text1"/>
        </w:rPr>
      </w:pPr>
      <w:r w:rsidRPr="00A418F2">
        <w:rPr>
          <w:rFonts w:ascii="Arial Nova" w:eastAsia="Arial" w:hAnsi="Arial Nova"/>
          <w:color w:val="000000" w:themeColor="text1"/>
        </w:rPr>
        <w:t>ERP&amp;IT</w:t>
      </w:r>
    </w:p>
    <w:p w14:paraId="7255A6F6" w14:textId="77777777" w:rsidR="005D62D8" w:rsidRPr="00A418F2" w:rsidRDefault="005D62D8" w:rsidP="006C593A">
      <w:pPr>
        <w:pStyle w:val="ListParagraph"/>
        <w:numPr>
          <w:ilvl w:val="0"/>
          <w:numId w:val="2"/>
        </w:numPr>
        <w:spacing w:after="120" w:line="240" w:lineRule="auto"/>
        <w:ind w:left="1614"/>
        <w:jc w:val="both"/>
        <w:rPr>
          <w:rFonts w:ascii="Arial Nova" w:eastAsia="Arial" w:hAnsi="Arial Nova"/>
          <w:color w:val="000000" w:themeColor="text1"/>
        </w:rPr>
      </w:pPr>
      <w:r w:rsidRPr="00A418F2">
        <w:rPr>
          <w:rFonts w:ascii="Arial Nova" w:eastAsia="Arial" w:hAnsi="Arial Nova"/>
          <w:color w:val="000000" w:themeColor="text1"/>
        </w:rPr>
        <w:t>OT-1: NTMAC/BNTAMC, 1 number RTAMC and minimum 5 number distinct substations.</w:t>
      </w:r>
    </w:p>
    <w:p w14:paraId="5AF32653" w14:textId="77777777" w:rsidR="005D62D8" w:rsidRPr="00A418F2" w:rsidRDefault="005D62D8" w:rsidP="006C593A">
      <w:pPr>
        <w:pStyle w:val="ListParagraph"/>
        <w:numPr>
          <w:ilvl w:val="0"/>
          <w:numId w:val="2"/>
        </w:numPr>
        <w:spacing w:after="120" w:line="240" w:lineRule="auto"/>
        <w:ind w:left="1614"/>
        <w:jc w:val="both"/>
        <w:rPr>
          <w:rFonts w:ascii="Arial Nova" w:eastAsia="Arial" w:hAnsi="Arial Nova"/>
          <w:color w:val="000000" w:themeColor="text1"/>
        </w:rPr>
      </w:pPr>
      <w:r w:rsidRPr="00A418F2">
        <w:rPr>
          <w:rFonts w:ascii="Arial Nova" w:eastAsia="Arial" w:hAnsi="Arial Nova"/>
          <w:color w:val="000000" w:themeColor="text1"/>
        </w:rPr>
        <w:t xml:space="preserve">OT-2: </w:t>
      </w:r>
      <w:proofErr w:type="spellStart"/>
      <w:r w:rsidRPr="00A418F2">
        <w:rPr>
          <w:rFonts w:ascii="Arial Nova" w:eastAsia="Arial" w:hAnsi="Arial Nova"/>
          <w:color w:val="000000" w:themeColor="text1"/>
        </w:rPr>
        <w:t>PowerTel</w:t>
      </w:r>
      <w:proofErr w:type="spellEnd"/>
    </w:p>
    <w:p w14:paraId="3D121AD7" w14:textId="77777777" w:rsidR="005D62D8" w:rsidRPr="00A418F2" w:rsidRDefault="005D62D8" w:rsidP="006C593A">
      <w:pPr>
        <w:pStyle w:val="ListParagraph"/>
        <w:numPr>
          <w:ilvl w:val="0"/>
          <w:numId w:val="2"/>
        </w:numPr>
        <w:spacing w:after="120" w:line="240" w:lineRule="auto"/>
        <w:ind w:left="1614"/>
        <w:jc w:val="both"/>
        <w:rPr>
          <w:rFonts w:ascii="Arial Nova" w:eastAsia="Arial" w:hAnsi="Arial Nova"/>
          <w:color w:val="000000" w:themeColor="text1"/>
        </w:rPr>
      </w:pPr>
      <w:r w:rsidRPr="00A418F2">
        <w:rPr>
          <w:rFonts w:ascii="Arial Nova" w:eastAsia="Arial" w:hAnsi="Arial Nova"/>
          <w:color w:val="000000" w:themeColor="text1"/>
        </w:rPr>
        <w:t>OT-3: ULDC/UNMS, and URTDSM</w:t>
      </w:r>
    </w:p>
    <w:p w14:paraId="5FB5A126"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Assessment Components not limited to the following:</w:t>
      </w:r>
    </w:p>
    <w:p w14:paraId="55F40B57" w14:textId="77777777" w:rsidR="005D62D8" w:rsidRPr="00A418F2" w:rsidRDefault="005D62D8" w:rsidP="006C593A">
      <w:pPr>
        <w:pStyle w:val="ListParagraph"/>
        <w:numPr>
          <w:ilvl w:val="0"/>
          <w:numId w:val="15"/>
        </w:numPr>
        <w:spacing w:after="0" w:line="240" w:lineRule="auto"/>
        <w:ind w:left="1655"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 xml:space="preserve">Control System Security: </w:t>
      </w:r>
      <w:r w:rsidRPr="00A418F2">
        <w:rPr>
          <w:rFonts w:ascii="Arial Nova" w:eastAsia="Arial" w:hAnsi="Arial Nova"/>
          <w:color w:val="000000" w:themeColor="text1"/>
        </w:rPr>
        <w:t>Assessment of security controls.</w:t>
      </w:r>
    </w:p>
    <w:p w14:paraId="0E63EEF6" w14:textId="77777777" w:rsidR="005D62D8" w:rsidRPr="00A418F2" w:rsidRDefault="005D62D8" w:rsidP="006C593A">
      <w:pPr>
        <w:pStyle w:val="ListParagraph"/>
        <w:numPr>
          <w:ilvl w:val="0"/>
          <w:numId w:val="15"/>
        </w:numPr>
        <w:spacing w:after="0" w:line="240" w:lineRule="auto"/>
        <w:ind w:left="1655"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 xml:space="preserve">Protocol Analysis: </w:t>
      </w:r>
      <w:r w:rsidRPr="00A418F2">
        <w:rPr>
          <w:rFonts w:ascii="Arial Nova" w:eastAsia="Arial" w:hAnsi="Arial Nova"/>
          <w:color w:val="000000" w:themeColor="text1"/>
        </w:rPr>
        <w:t>Evaluation of IT/OT communication protocols and their security mechanisms.</w:t>
      </w:r>
    </w:p>
    <w:p w14:paraId="2AD30B7D" w14:textId="77777777" w:rsidR="005D62D8" w:rsidRPr="00A418F2" w:rsidRDefault="005D62D8" w:rsidP="006C593A">
      <w:pPr>
        <w:pStyle w:val="ListParagraph"/>
        <w:numPr>
          <w:ilvl w:val="0"/>
          <w:numId w:val="15"/>
        </w:numPr>
        <w:spacing w:after="0" w:line="240" w:lineRule="auto"/>
        <w:ind w:left="1655"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 xml:space="preserve">Safety System Integration: </w:t>
      </w:r>
      <w:r w:rsidRPr="00A418F2">
        <w:rPr>
          <w:rFonts w:ascii="Arial Nova" w:eastAsia="Arial" w:hAnsi="Arial Nova"/>
          <w:color w:val="000000" w:themeColor="text1"/>
        </w:rPr>
        <w:t>Review of safety system implementations and their security controls.</w:t>
      </w:r>
    </w:p>
    <w:p w14:paraId="7D6C961E" w14:textId="77777777" w:rsidR="005D62D8" w:rsidRPr="00A418F2" w:rsidRDefault="005D62D8" w:rsidP="006C593A">
      <w:pPr>
        <w:pStyle w:val="ListParagraph"/>
        <w:numPr>
          <w:ilvl w:val="0"/>
          <w:numId w:val="15"/>
        </w:numPr>
        <w:spacing w:after="0" w:line="240" w:lineRule="auto"/>
        <w:ind w:left="1655"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Network Assessment:</w:t>
      </w:r>
      <w:r w:rsidRPr="00A418F2">
        <w:rPr>
          <w:rFonts w:ascii="Arial Nova" w:eastAsia="Arial" w:hAnsi="Arial Nova"/>
          <w:color w:val="000000" w:themeColor="text1"/>
        </w:rPr>
        <w:t xml:space="preserve"> Evaluate IT/OT infrastructure alignment with cyber security to ensure proper segmentation and secure communication between different segment levels.</w:t>
      </w:r>
    </w:p>
    <w:p w14:paraId="49C809B0" w14:textId="77777777" w:rsidR="005D62D8" w:rsidRPr="00A418F2" w:rsidRDefault="005D62D8" w:rsidP="006C593A">
      <w:pPr>
        <w:pStyle w:val="ListParagraph"/>
        <w:numPr>
          <w:ilvl w:val="0"/>
          <w:numId w:val="15"/>
        </w:numPr>
        <w:spacing w:after="0" w:line="240" w:lineRule="auto"/>
        <w:ind w:left="1655"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 xml:space="preserve">Remote Access Security: </w:t>
      </w:r>
      <w:r w:rsidRPr="00A418F2">
        <w:rPr>
          <w:rFonts w:ascii="Arial Nova" w:eastAsia="Arial" w:hAnsi="Arial Nova"/>
          <w:color w:val="000000" w:themeColor="text1"/>
        </w:rPr>
        <w:t>Assessment of remote access mechanisms and their protection measures.</w:t>
      </w:r>
    </w:p>
    <w:p w14:paraId="1A288A78" w14:textId="77777777" w:rsidR="005D62D8" w:rsidRPr="00A418F2" w:rsidRDefault="005D62D8" w:rsidP="006C593A">
      <w:pPr>
        <w:pStyle w:val="ListParagraph"/>
        <w:numPr>
          <w:ilvl w:val="0"/>
          <w:numId w:val="15"/>
        </w:numPr>
        <w:spacing w:after="0" w:line="240" w:lineRule="auto"/>
        <w:ind w:left="1655"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 xml:space="preserve">System Isolation: </w:t>
      </w:r>
      <w:r w:rsidRPr="00A418F2">
        <w:rPr>
          <w:rFonts w:ascii="Arial Nova" w:eastAsia="Arial" w:hAnsi="Arial Nova"/>
          <w:color w:val="000000" w:themeColor="text1"/>
        </w:rPr>
        <w:t>Validation of network segmentation and system isolation measures.</w:t>
      </w:r>
    </w:p>
    <w:p w14:paraId="719A8910" w14:textId="77777777" w:rsidR="005D62D8" w:rsidRPr="00A418F2" w:rsidRDefault="005D62D8" w:rsidP="006C593A">
      <w:pPr>
        <w:pStyle w:val="ListParagraph"/>
        <w:numPr>
          <w:ilvl w:val="2"/>
          <w:numId w:val="11"/>
        </w:numPr>
        <w:spacing w:after="120" w:line="240" w:lineRule="auto"/>
        <w:ind w:left="709" w:hanging="567"/>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Defence-in-Depth Analysis</w:t>
      </w:r>
    </w:p>
    <w:p w14:paraId="50890D1E" w14:textId="77777777" w:rsidR="005D62D8" w:rsidRPr="00A418F2" w:rsidRDefault="005D62D8" w:rsidP="005D62D8">
      <w:pPr>
        <w:spacing w:after="120"/>
        <w:ind w:left="709"/>
        <w:jc w:val="both"/>
        <w:rPr>
          <w:rFonts w:ascii="Arial Nova" w:eastAsia="Arial" w:hAnsi="Arial Nova"/>
          <w:color w:val="000000" w:themeColor="text1"/>
        </w:rPr>
      </w:pPr>
      <w:r w:rsidRPr="00A418F2">
        <w:rPr>
          <w:rFonts w:ascii="Arial Nova" w:eastAsia="Arial" w:hAnsi="Arial Nova"/>
          <w:color w:val="000000" w:themeColor="text1"/>
        </w:rPr>
        <w:t xml:space="preserve">The </w:t>
      </w:r>
      <w:proofErr w:type="spellStart"/>
      <w:r w:rsidRPr="00A418F2">
        <w:rPr>
          <w:rFonts w:ascii="Arial Nova" w:eastAsia="Arial" w:hAnsi="Arial Nova"/>
          <w:color w:val="000000" w:themeColor="text1"/>
        </w:rPr>
        <w:t>defence</w:t>
      </w:r>
      <w:proofErr w:type="spellEnd"/>
      <w:r w:rsidRPr="00A418F2">
        <w:rPr>
          <w:rFonts w:ascii="Arial Nova" w:eastAsia="Arial" w:hAnsi="Arial Nova"/>
          <w:color w:val="000000" w:themeColor="text1"/>
        </w:rPr>
        <w:t xml:space="preserve">-in-depth analysis shall examine multiple layers of security controls, identify information security gaps from perimeter </w:t>
      </w:r>
      <w:proofErr w:type="spellStart"/>
      <w:r w:rsidRPr="00A418F2">
        <w:rPr>
          <w:rFonts w:ascii="Arial Nova" w:eastAsia="Arial" w:hAnsi="Arial Nova"/>
          <w:color w:val="000000" w:themeColor="text1"/>
        </w:rPr>
        <w:t>defences</w:t>
      </w:r>
      <w:proofErr w:type="spellEnd"/>
      <w:r w:rsidRPr="00A418F2">
        <w:rPr>
          <w:rFonts w:ascii="Arial Nova" w:eastAsia="Arial" w:hAnsi="Arial Nova"/>
          <w:color w:val="000000" w:themeColor="text1"/>
        </w:rPr>
        <w:t xml:space="preserve"> to core system protection mechanisms, ensuring robust protection against both external and internal threats. The analysis methodology shall incorporate advanced threat modelling techniques to identify potential attack vectors and evaluate the effectiveness of defensive measures at each layer of the security architecture.</w:t>
      </w:r>
    </w:p>
    <w:p w14:paraId="34C91DBA" w14:textId="77777777" w:rsidR="005D62D8" w:rsidRDefault="005D62D8" w:rsidP="005D62D8">
      <w:pPr>
        <w:spacing w:after="120"/>
        <w:ind w:left="709"/>
        <w:jc w:val="both"/>
        <w:rPr>
          <w:rFonts w:ascii="Arial Nova" w:eastAsia="Arial" w:hAnsi="Arial Nova"/>
          <w:color w:val="000000" w:themeColor="text1"/>
        </w:rPr>
      </w:pPr>
      <w:r w:rsidRPr="00A418F2">
        <w:rPr>
          <w:rFonts w:ascii="Arial Nova" w:eastAsia="Arial" w:hAnsi="Arial Nova"/>
          <w:color w:val="000000" w:themeColor="text1"/>
        </w:rPr>
        <w:t>The assessment framework shall evaluate security control implementation across physical, technical, and administrative domains, ensuring comprehensive protection of critical assets. Special attention shall be given to the interaction between different security layers and their collective effectiveness in protecting against sophisticated attack scenarios.</w:t>
      </w:r>
    </w:p>
    <w:p w14:paraId="5E9F4B9C" w14:textId="77777777" w:rsidR="0042625F" w:rsidRPr="00A418F2" w:rsidRDefault="0042625F" w:rsidP="005D62D8">
      <w:pPr>
        <w:spacing w:after="120"/>
        <w:ind w:left="709"/>
        <w:jc w:val="both"/>
        <w:rPr>
          <w:rFonts w:ascii="Arial Nova" w:eastAsia="Arial" w:hAnsi="Arial Nova"/>
          <w:color w:val="000000" w:themeColor="text1"/>
        </w:rPr>
      </w:pPr>
    </w:p>
    <w:p w14:paraId="22863CA4" w14:textId="77777777" w:rsidR="005D62D8" w:rsidRPr="00A418F2" w:rsidRDefault="005D62D8" w:rsidP="005D62D8">
      <w:pPr>
        <w:spacing w:after="120"/>
        <w:ind w:left="567" w:firstLine="142"/>
        <w:jc w:val="both"/>
        <w:rPr>
          <w:rFonts w:ascii="Arial Nova" w:eastAsia="Arial" w:hAnsi="Arial Nova"/>
          <w:color w:val="000000" w:themeColor="text1"/>
        </w:rPr>
      </w:pPr>
      <w:r w:rsidRPr="00A418F2">
        <w:rPr>
          <w:rFonts w:ascii="Arial Nova" w:eastAsia="Arial" w:hAnsi="Arial Nova"/>
          <w:color w:val="000000" w:themeColor="text1"/>
        </w:rPr>
        <w:lastRenderedPageBreak/>
        <w:t>Assessment Components not limited to the following:</w:t>
      </w:r>
    </w:p>
    <w:p w14:paraId="12D131C7" w14:textId="77777777" w:rsidR="005D62D8" w:rsidRPr="00A418F2" w:rsidRDefault="005D62D8" w:rsidP="006C593A">
      <w:pPr>
        <w:pStyle w:val="ListParagraph"/>
        <w:numPr>
          <w:ilvl w:val="0"/>
          <w:numId w:val="4"/>
        </w:numPr>
        <w:spacing w:after="0" w:line="240" w:lineRule="auto"/>
        <w:ind w:left="1281"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Perimeter Security:</w:t>
      </w:r>
      <w:r w:rsidRPr="00A418F2">
        <w:rPr>
          <w:rFonts w:ascii="Arial Nova" w:eastAsia="Arial" w:hAnsi="Arial Nova"/>
          <w:color w:val="000000" w:themeColor="text1"/>
        </w:rPr>
        <w:t xml:space="preserve"> Evaluation of boundary protection mechanisms, including firewalls, intrusion detection systems, and access control points.</w:t>
      </w:r>
    </w:p>
    <w:p w14:paraId="7E6F5CBB" w14:textId="77777777" w:rsidR="005D62D8" w:rsidRPr="00A418F2" w:rsidRDefault="005D62D8" w:rsidP="006C593A">
      <w:pPr>
        <w:pStyle w:val="ListParagraph"/>
        <w:numPr>
          <w:ilvl w:val="0"/>
          <w:numId w:val="4"/>
        </w:numPr>
        <w:spacing w:after="0" w:line="240" w:lineRule="auto"/>
        <w:ind w:left="1281" w:hanging="357"/>
        <w:jc w:val="both"/>
        <w:rPr>
          <w:rFonts w:ascii="Arial Nova" w:eastAsia="Arial" w:hAnsi="Arial Nova"/>
          <w:color w:val="000000" w:themeColor="text1"/>
        </w:rPr>
      </w:pPr>
      <w:r w:rsidRPr="00A418F2">
        <w:rPr>
          <w:rFonts w:ascii="Arial Nova" w:eastAsia="Arial" w:hAnsi="Arial Nova"/>
          <w:b/>
          <w:bCs/>
          <w:color w:val="000000" w:themeColor="text1"/>
        </w:rPr>
        <w:t>Network Segmentation:</w:t>
      </w:r>
      <w:r w:rsidRPr="00A418F2">
        <w:rPr>
          <w:rFonts w:ascii="Arial Nova" w:eastAsia="Arial" w:hAnsi="Arial Nova"/>
          <w:color w:val="000000" w:themeColor="text1"/>
        </w:rPr>
        <w:t xml:space="preserve"> Analysis of network segmentation and sub-segmentation strategies and their effectiveness in containing potential security breaches.</w:t>
      </w:r>
    </w:p>
    <w:p w14:paraId="1145700B" w14:textId="77777777" w:rsidR="005D62D8" w:rsidRPr="00A418F2" w:rsidRDefault="005D62D8" w:rsidP="006C593A">
      <w:pPr>
        <w:pStyle w:val="ListParagraph"/>
        <w:numPr>
          <w:ilvl w:val="0"/>
          <w:numId w:val="4"/>
        </w:numPr>
        <w:spacing w:after="0" w:line="240" w:lineRule="auto"/>
        <w:ind w:left="1281" w:hanging="357"/>
        <w:jc w:val="both"/>
        <w:rPr>
          <w:rFonts w:ascii="Arial Nova" w:eastAsia="Arial" w:hAnsi="Arial Nova"/>
          <w:color w:val="000000" w:themeColor="text1"/>
        </w:rPr>
      </w:pPr>
      <w:r w:rsidRPr="00A418F2">
        <w:rPr>
          <w:rFonts w:ascii="Arial Nova" w:eastAsia="Arial" w:hAnsi="Arial Nova"/>
          <w:b/>
          <w:bCs/>
          <w:color w:val="000000" w:themeColor="text1"/>
        </w:rPr>
        <w:t>System Hardening:</w:t>
      </w:r>
      <w:r w:rsidRPr="00A418F2">
        <w:rPr>
          <w:rFonts w:ascii="Arial Nova" w:eastAsia="Arial" w:hAnsi="Arial Nova"/>
          <w:color w:val="000000" w:themeColor="text1"/>
        </w:rPr>
        <w:t xml:space="preserve"> Assessment of system-level security controls and configuration management practices.</w:t>
      </w:r>
    </w:p>
    <w:p w14:paraId="2FE7FE16" w14:textId="77777777" w:rsidR="005D62D8" w:rsidRPr="00A418F2" w:rsidRDefault="005D62D8" w:rsidP="006C593A">
      <w:pPr>
        <w:pStyle w:val="ListParagraph"/>
        <w:numPr>
          <w:ilvl w:val="0"/>
          <w:numId w:val="4"/>
        </w:numPr>
        <w:spacing w:after="0" w:line="240" w:lineRule="auto"/>
        <w:ind w:left="1281" w:hanging="357"/>
        <w:jc w:val="both"/>
        <w:rPr>
          <w:rFonts w:ascii="Arial Nova" w:eastAsia="Arial" w:hAnsi="Arial Nova"/>
          <w:color w:val="000000" w:themeColor="text1"/>
        </w:rPr>
      </w:pPr>
      <w:r w:rsidRPr="00A418F2">
        <w:rPr>
          <w:rFonts w:ascii="Arial Nova" w:eastAsia="Arial" w:hAnsi="Arial Nova"/>
          <w:b/>
          <w:bCs/>
          <w:color w:val="000000" w:themeColor="text1"/>
        </w:rPr>
        <w:t>Security Tools:</w:t>
      </w:r>
      <w:r w:rsidRPr="00A418F2">
        <w:rPr>
          <w:rFonts w:ascii="Arial Nova" w:eastAsia="Arial" w:hAnsi="Arial Nova"/>
          <w:color w:val="000000" w:themeColor="text1"/>
        </w:rPr>
        <w:t xml:space="preserve"> Review of existing security tools and provide suggestions or recommendations for enhancements or new tools.</w:t>
      </w:r>
    </w:p>
    <w:p w14:paraId="720B4C49" w14:textId="77777777" w:rsidR="005D62D8" w:rsidRPr="00A418F2" w:rsidRDefault="005D62D8" w:rsidP="006C593A">
      <w:pPr>
        <w:pStyle w:val="ListParagraph"/>
        <w:numPr>
          <w:ilvl w:val="0"/>
          <w:numId w:val="4"/>
        </w:numPr>
        <w:spacing w:after="0" w:line="240" w:lineRule="auto"/>
        <w:ind w:left="1281"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Data Protection:</w:t>
      </w:r>
      <w:r w:rsidRPr="00A418F2">
        <w:rPr>
          <w:rFonts w:ascii="Arial Nova" w:eastAsia="Arial" w:hAnsi="Arial Nova"/>
          <w:color w:val="000000" w:themeColor="text1"/>
        </w:rPr>
        <w:t xml:space="preserve"> Review of data security mechanisms, including encryption, access controls, and data loss prevention.</w:t>
      </w:r>
    </w:p>
    <w:p w14:paraId="367A727F" w14:textId="77777777" w:rsidR="005D62D8" w:rsidRPr="00A418F2" w:rsidRDefault="005D62D8" w:rsidP="006C593A">
      <w:pPr>
        <w:pStyle w:val="ListParagraph"/>
        <w:numPr>
          <w:ilvl w:val="0"/>
          <w:numId w:val="4"/>
        </w:numPr>
        <w:spacing w:after="0" w:line="240" w:lineRule="auto"/>
        <w:ind w:left="1281" w:hanging="357"/>
        <w:contextualSpacing w:val="0"/>
        <w:jc w:val="both"/>
        <w:rPr>
          <w:rFonts w:ascii="Arial Nova" w:eastAsia="Arial" w:hAnsi="Arial Nova"/>
          <w:color w:val="000000" w:themeColor="text1"/>
        </w:rPr>
      </w:pPr>
      <w:r w:rsidRPr="00A418F2">
        <w:rPr>
          <w:rFonts w:ascii="Arial Nova" w:eastAsia="Arial" w:hAnsi="Arial Nova"/>
          <w:b/>
          <w:bCs/>
          <w:color w:val="000000" w:themeColor="text1"/>
        </w:rPr>
        <w:t>Incident Response:</w:t>
      </w:r>
      <w:r w:rsidRPr="00A418F2">
        <w:rPr>
          <w:rFonts w:ascii="Arial Nova" w:eastAsia="Arial" w:hAnsi="Arial Nova"/>
          <w:color w:val="000000" w:themeColor="text1"/>
        </w:rPr>
        <w:t xml:space="preserve"> Evaluation of detection and response capabilities across all security layers.</w:t>
      </w:r>
    </w:p>
    <w:p w14:paraId="6CB6B944" w14:textId="77777777" w:rsidR="005D62D8" w:rsidRPr="00A418F2" w:rsidRDefault="005D62D8" w:rsidP="006C593A">
      <w:pPr>
        <w:pStyle w:val="ListParagraph"/>
        <w:numPr>
          <w:ilvl w:val="2"/>
          <w:numId w:val="11"/>
        </w:numPr>
        <w:spacing w:after="120" w:line="240" w:lineRule="auto"/>
        <w:ind w:left="709" w:hanging="567"/>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Integration Points Assessment</w:t>
      </w:r>
    </w:p>
    <w:p w14:paraId="38EE4623" w14:textId="77777777" w:rsidR="005D62D8" w:rsidRPr="00A418F2" w:rsidRDefault="005D62D8" w:rsidP="005D62D8">
      <w:pPr>
        <w:spacing w:after="120"/>
        <w:ind w:left="709"/>
        <w:jc w:val="both"/>
        <w:rPr>
          <w:rFonts w:ascii="Arial Nova" w:eastAsia="Arial" w:hAnsi="Arial Nova"/>
          <w:color w:val="000000" w:themeColor="text1"/>
        </w:rPr>
      </w:pPr>
      <w:r w:rsidRPr="00A418F2">
        <w:rPr>
          <w:rFonts w:ascii="Arial Nova" w:eastAsia="Arial" w:hAnsi="Arial Nova"/>
          <w:color w:val="000000" w:themeColor="text1"/>
        </w:rPr>
        <w:t xml:space="preserve">The integration points assessment shall focus on evaluating security controls at critical interfaces between different systems, </w:t>
      </w:r>
      <w:proofErr w:type="gramStart"/>
      <w:r w:rsidRPr="00A418F2">
        <w:rPr>
          <w:rFonts w:ascii="Arial Nova" w:eastAsia="Arial" w:hAnsi="Arial Nova"/>
          <w:color w:val="000000" w:themeColor="text1"/>
        </w:rPr>
        <w:t>networks</w:t>
      </w:r>
      <w:proofErr w:type="gramEnd"/>
      <w:r w:rsidRPr="00A418F2">
        <w:rPr>
          <w:rFonts w:ascii="Arial Nova" w:eastAsia="Arial" w:hAnsi="Arial Nova"/>
          <w:color w:val="000000" w:themeColor="text1"/>
        </w:rPr>
        <w:t xml:space="preserve"> and isolated segments. This comprehensive review shall examine all connection points between IT and OT networks, third-party integrations, and external access mechanisms to ensure appropriate security controls are implemented and effectively maintained. The assessment methodology shall incorporate detailed analysis of data flows, access controls, and security monitoring capabilities at each integration point. The assessment will evaluate network isolation, focusing on the air gap and preventing convergence between the IT and OT verticals of POWERGRID.</w:t>
      </w:r>
    </w:p>
    <w:p w14:paraId="28057DDD" w14:textId="77777777" w:rsidR="005D62D8" w:rsidRPr="00A418F2" w:rsidRDefault="005D62D8" w:rsidP="005D62D8">
      <w:pPr>
        <w:spacing w:after="120"/>
        <w:ind w:left="709"/>
        <w:jc w:val="both"/>
        <w:rPr>
          <w:rFonts w:ascii="Arial Nova" w:eastAsia="Arial" w:hAnsi="Arial Nova"/>
          <w:color w:val="000000" w:themeColor="text1"/>
        </w:rPr>
      </w:pPr>
      <w:r w:rsidRPr="00A418F2">
        <w:rPr>
          <w:rFonts w:ascii="Arial Nova" w:eastAsia="Arial" w:hAnsi="Arial Nova"/>
          <w:color w:val="000000" w:themeColor="text1"/>
        </w:rPr>
        <w:t>Attention shall be given to identifying potential vulnerabilities that could arise from system interconnections and ensuring that appropriate security controls are implemented to protect against potential attack vectors. The assessment includes evaluation of both technical controls and operational procedures governing system interactions.</w:t>
      </w:r>
    </w:p>
    <w:p w14:paraId="75BA5642" w14:textId="77777777" w:rsidR="005D62D8" w:rsidRPr="00A418F2" w:rsidRDefault="005D62D8" w:rsidP="006C593A">
      <w:pPr>
        <w:pStyle w:val="ListParagraph"/>
        <w:numPr>
          <w:ilvl w:val="2"/>
          <w:numId w:val="11"/>
        </w:numPr>
        <w:spacing w:after="120" w:line="240" w:lineRule="auto"/>
        <w:ind w:left="709"/>
        <w:jc w:val="both"/>
        <w:rPr>
          <w:rFonts w:ascii="Arial Nova" w:eastAsia="Arial" w:hAnsi="Arial Nova"/>
          <w:b/>
          <w:bCs/>
          <w:color w:val="000000" w:themeColor="text1"/>
        </w:rPr>
      </w:pPr>
      <w:r w:rsidRPr="00A418F2">
        <w:rPr>
          <w:rFonts w:ascii="Arial Nova" w:eastAsia="Arial" w:hAnsi="Arial Nova"/>
          <w:b/>
          <w:bCs/>
          <w:color w:val="000000" w:themeColor="text1"/>
        </w:rPr>
        <w:t>Expected Outcome:</w:t>
      </w:r>
    </w:p>
    <w:p w14:paraId="088C0D0E" w14:textId="77777777" w:rsidR="005D62D8" w:rsidRPr="00A418F2" w:rsidRDefault="005D62D8" w:rsidP="005D62D8">
      <w:pPr>
        <w:pStyle w:val="ListParagraph"/>
        <w:spacing w:after="120"/>
        <w:ind w:left="709"/>
        <w:jc w:val="both"/>
        <w:rPr>
          <w:rFonts w:ascii="Arial Nova" w:eastAsia="Arial" w:hAnsi="Arial Nova"/>
          <w:color w:val="000000" w:themeColor="text1"/>
        </w:rPr>
      </w:pPr>
      <w:r w:rsidRPr="00A418F2">
        <w:rPr>
          <w:rFonts w:ascii="Arial Nova" w:eastAsia="Arial" w:hAnsi="Arial Nova"/>
          <w:color w:val="000000" w:themeColor="text1"/>
        </w:rPr>
        <w:t>Each year, the consultants shall review segmentation, routing, and Zero Trust alignment and submit a Network Architecture Review Report. They shall assess system hardening, patching, and security settings, followed by the submission of a System Configuration Assessment Report. Additionally, they shall conduct a Defence-in-Depth analysis and submit a corresponding report. As part of their assessment, the consultants shall also review existing security tools and provide suggestions or recommendations for enhancements or new tools where necessary. Furthermore, they shall provide recommendations for improving architecture security and mitigating identified security gaps. After POWERGRID completes the necessary compliance activities, the consultants shall validate the implementation and effectiveness of these measures.</w:t>
      </w:r>
    </w:p>
    <w:p w14:paraId="131F5C0F" w14:textId="77777777" w:rsidR="00475E87" w:rsidRPr="0042625F" w:rsidRDefault="00475E87" w:rsidP="005D62D8">
      <w:pPr>
        <w:pStyle w:val="ListParagraph"/>
        <w:spacing w:after="120"/>
        <w:ind w:left="709"/>
        <w:jc w:val="both"/>
        <w:rPr>
          <w:rFonts w:ascii="Arial Nova" w:eastAsia="Arial" w:hAnsi="Arial Nova"/>
          <w:color w:val="000000" w:themeColor="text1"/>
          <w:sz w:val="14"/>
          <w:szCs w:val="12"/>
        </w:rPr>
      </w:pPr>
    </w:p>
    <w:p w14:paraId="6DDB93B1" w14:textId="77777777" w:rsidR="005D62D8" w:rsidRPr="00A418F2" w:rsidRDefault="005D62D8" w:rsidP="006C593A">
      <w:pPr>
        <w:pStyle w:val="ListParagraph"/>
        <w:numPr>
          <w:ilvl w:val="1"/>
          <w:numId w:val="11"/>
        </w:numPr>
        <w:spacing w:after="120" w:line="240" w:lineRule="auto"/>
        <w:ind w:left="567" w:hanging="425"/>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Security Operations Centre assessment and enhancement</w:t>
      </w:r>
    </w:p>
    <w:p w14:paraId="1BBDE736" w14:textId="77777777" w:rsidR="005D62D8" w:rsidRPr="00A418F2" w:rsidRDefault="005D62D8" w:rsidP="005D62D8">
      <w:pPr>
        <w:spacing w:after="120"/>
        <w:ind w:left="567"/>
        <w:jc w:val="both"/>
        <w:rPr>
          <w:rFonts w:ascii="Arial Nova" w:eastAsia="Arial" w:hAnsi="Arial Nova"/>
          <w:color w:val="000000" w:themeColor="text1"/>
        </w:rPr>
      </w:pPr>
      <w:r w:rsidRPr="00A418F2">
        <w:rPr>
          <w:rFonts w:ascii="Arial Nova" w:eastAsia="Arial" w:hAnsi="Arial Nova"/>
          <w:color w:val="000000" w:themeColor="text1"/>
        </w:rPr>
        <w:t xml:space="preserve">The current state assessment shall provide a comprehensive assessment, identification of information security gaps, evaluation of existing SOC capabilities, including people, processes, and technology components. This detailed analysis shall examine current operational procedures, tool effectiveness, and team capabilities to identify areas for improvement and enhancement. </w:t>
      </w:r>
    </w:p>
    <w:p w14:paraId="5F5BCA79" w14:textId="77777777" w:rsidR="005D62D8" w:rsidRPr="00A418F2" w:rsidRDefault="005D62D8" w:rsidP="005D62D8">
      <w:pPr>
        <w:spacing w:after="120"/>
        <w:ind w:left="567"/>
        <w:jc w:val="both"/>
        <w:rPr>
          <w:rFonts w:ascii="Arial Nova" w:eastAsia="Arial" w:hAnsi="Arial Nova"/>
          <w:color w:val="000000" w:themeColor="text1"/>
        </w:rPr>
      </w:pPr>
      <w:r w:rsidRPr="00A418F2">
        <w:rPr>
          <w:rFonts w:ascii="Arial Nova" w:eastAsia="Arial" w:hAnsi="Arial Nova"/>
          <w:color w:val="000000" w:themeColor="text1"/>
        </w:rPr>
        <w:lastRenderedPageBreak/>
        <w:t xml:space="preserve">Special attention shall be given to </w:t>
      </w:r>
      <w:proofErr w:type="spellStart"/>
      <w:r w:rsidRPr="00A418F2">
        <w:rPr>
          <w:rFonts w:ascii="Arial Nova" w:eastAsia="Arial" w:hAnsi="Arial Nova"/>
          <w:color w:val="000000" w:themeColor="text1"/>
        </w:rPr>
        <w:t>analysing</w:t>
      </w:r>
      <w:proofErr w:type="spellEnd"/>
      <w:r w:rsidRPr="00A418F2">
        <w:rPr>
          <w:rFonts w:ascii="Arial Nova" w:eastAsia="Arial" w:hAnsi="Arial Nova"/>
          <w:color w:val="000000" w:themeColor="text1"/>
        </w:rPr>
        <w:t xml:space="preserve"> current incident detection and response capabilities, including evaluation of monitoring coverage, alert triage processes, and incident response procedures. The assessment includes detailed examination of current tools and technologies, team structure and capabilities, and operational processes and procedures.</w:t>
      </w:r>
    </w:p>
    <w:p w14:paraId="5F736536" w14:textId="77777777" w:rsidR="005D62D8" w:rsidRPr="00A418F2" w:rsidRDefault="005D62D8" w:rsidP="006C593A">
      <w:pPr>
        <w:pStyle w:val="ListParagraph"/>
        <w:numPr>
          <w:ilvl w:val="2"/>
          <w:numId w:val="11"/>
        </w:numPr>
        <w:spacing w:after="120" w:line="240" w:lineRule="auto"/>
        <w:ind w:left="567" w:hanging="425"/>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Assessment Areas</w:t>
      </w:r>
    </w:p>
    <w:p w14:paraId="68FEBFFA" w14:textId="77777777" w:rsidR="005D62D8" w:rsidRPr="00A418F2" w:rsidRDefault="005D62D8" w:rsidP="006C593A">
      <w:pPr>
        <w:pStyle w:val="ListParagraph"/>
        <w:numPr>
          <w:ilvl w:val="0"/>
          <w:numId w:val="12"/>
        </w:numPr>
        <w:spacing w:after="120" w:line="240" w:lineRule="auto"/>
        <w:ind w:left="862"/>
        <w:contextualSpacing w:val="0"/>
        <w:jc w:val="both"/>
        <w:rPr>
          <w:rFonts w:ascii="Arial Nova" w:eastAsia="Arial" w:hAnsi="Arial Nova"/>
          <w:color w:val="000000" w:themeColor="text1"/>
        </w:rPr>
      </w:pPr>
      <w:r w:rsidRPr="00A418F2">
        <w:rPr>
          <w:rFonts w:ascii="Arial Nova" w:eastAsia="Arial" w:hAnsi="Arial Nova"/>
          <w:b/>
          <w:bCs/>
          <w:color w:val="000000" w:themeColor="text1"/>
        </w:rPr>
        <w:t>Visibility:</w:t>
      </w:r>
      <w:r w:rsidRPr="00A418F2">
        <w:rPr>
          <w:rFonts w:ascii="Arial Nova" w:eastAsia="Arial" w:hAnsi="Arial Nova"/>
          <w:color w:val="000000" w:themeColor="text1"/>
        </w:rPr>
        <w:t xml:space="preserve">  Evaluate the SOC's ability to collect and aggregate security-relevant data from all critical sources, including network devices, endpoints, cloud services, and applications. Assess the comprehensiveness of data sources and the efficiency of data aggregation mechanisms. This should align with D3FEND's "Data Sources" and "Sensors" categories.</w:t>
      </w:r>
    </w:p>
    <w:p w14:paraId="1017C139" w14:textId="77777777" w:rsidR="005D62D8" w:rsidRPr="00A418F2" w:rsidRDefault="005D62D8" w:rsidP="006C593A">
      <w:pPr>
        <w:pStyle w:val="ListParagraph"/>
        <w:numPr>
          <w:ilvl w:val="0"/>
          <w:numId w:val="12"/>
        </w:numPr>
        <w:spacing w:after="120" w:line="240" w:lineRule="auto"/>
        <w:ind w:left="862"/>
        <w:contextualSpacing w:val="0"/>
        <w:jc w:val="both"/>
        <w:rPr>
          <w:rFonts w:ascii="Arial Nova" w:eastAsia="Arial" w:hAnsi="Arial Nova"/>
          <w:color w:val="000000" w:themeColor="text1"/>
        </w:rPr>
      </w:pPr>
      <w:r w:rsidRPr="00A418F2">
        <w:rPr>
          <w:rFonts w:ascii="Arial Nova" w:eastAsia="Arial" w:hAnsi="Arial Nova"/>
          <w:b/>
          <w:bCs/>
          <w:color w:val="000000" w:themeColor="text1"/>
        </w:rPr>
        <w:t>Detection Capabilities:</w:t>
      </w:r>
      <w:r w:rsidRPr="00A418F2">
        <w:rPr>
          <w:rFonts w:ascii="Arial Nova" w:eastAsia="Arial" w:hAnsi="Arial Nova"/>
          <w:color w:val="000000" w:themeColor="text1"/>
        </w:rPr>
        <w:t xml:space="preserve"> Assess the SOC's proficiency in identifying potential security incidents. Evaluate the effectiveness of employed detection mechanisms, including signature-based detection, anomaly detection, </w:t>
      </w:r>
      <w:proofErr w:type="spellStart"/>
      <w:r w:rsidRPr="00A418F2">
        <w:rPr>
          <w:rFonts w:ascii="Arial Nova" w:eastAsia="Arial" w:hAnsi="Arial Nova"/>
          <w:color w:val="000000" w:themeColor="text1"/>
        </w:rPr>
        <w:t>behavioural</w:t>
      </w:r>
      <w:proofErr w:type="spellEnd"/>
      <w:r w:rsidRPr="00A418F2">
        <w:rPr>
          <w:rFonts w:ascii="Arial Nova" w:eastAsia="Arial" w:hAnsi="Arial Nova"/>
          <w:color w:val="000000" w:themeColor="text1"/>
        </w:rPr>
        <w:t xml:space="preserve"> analysis, and the use of threat intelligence. This should align with D3FEND's "Detection and Analysis" category.</w:t>
      </w:r>
    </w:p>
    <w:p w14:paraId="7A5C74A8" w14:textId="77777777" w:rsidR="005D62D8" w:rsidRPr="00A418F2" w:rsidRDefault="005D62D8" w:rsidP="006C593A">
      <w:pPr>
        <w:pStyle w:val="ListParagraph"/>
        <w:numPr>
          <w:ilvl w:val="1"/>
          <w:numId w:val="13"/>
        </w:numPr>
        <w:spacing w:after="120" w:line="240" w:lineRule="auto"/>
        <w:ind w:left="862"/>
        <w:contextualSpacing w:val="0"/>
        <w:jc w:val="both"/>
        <w:rPr>
          <w:rFonts w:ascii="Arial Nova" w:eastAsia="Arial" w:hAnsi="Arial Nova"/>
          <w:color w:val="000000" w:themeColor="text1"/>
        </w:rPr>
      </w:pPr>
      <w:r w:rsidRPr="00A418F2">
        <w:rPr>
          <w:rFonts w:ascii="Arial Nova" w:eastAsia="Arial" w:hAnsi="Arial Nova"/>
          <w:b/>
          <w:bCs/>
          <w:color w:val="000000" w:themeColor="text1"/>
        </w:rPr>
        <w:t>Response Capabilities</w:t>
      </w:r>
      <w:r w:rsidRPr="00A418F2">
        <w:rPr>
          <w:rFonts w:ascii="Arial Nova" w:eastAsia="Arial" w:hAnsi="Arial Nova"/>
          <w:color w:val="000000" w:themeColor="text1"/>
        </w:rPr>
        <w:t>: Evaluate the maturity of the SOC's incident response procedures, encompassing triage, containment, eradication, recovery, and post-incident activities. Assess the SOC's ability to escalate incidents, communicate effectively, and coordinate response efforts. This should align with D3FEND's "Response Actions" category.</w:t>
      </w:r>
    </w:p>
    <w:p w14:paraId="47F43FC6" w14:textId="77777777" w:rsidR="005D62D8" w:rsidRPr="00A418F2" w:rsidRDefault="005D62D8" w:rsidP="006C593A">
      <w:pPr>
        <w:pStyle w:val="ListParagraph"/>
        <w:numPr>
          <w:ilvl w:val="1"/>
          <w:numId w:val="14"/>
        </w:numPr>
        <w:spacing w:after="120" w:line="240" w:lineRule="auto"/>
        <w:ind w:left="862"/>
        <w:contextualSpacing w:val="0"/>
        <w:jc w:val="both"/>
        <w:rPr>
          <w:rFonts w:ascii="Arial Nova" w:eastAsia="Arial" w:hAnsi="Arial Nova"/>
          <w:color w:val="000000" w:themeColor="text1"/>
        </w:rPr>
      </w:pPr>
      <w:r w:rsidRPr="00A418F2">
        <w:rPr>
          <w:rFonts w:ascii="Arial Nova" w:eastAsia="Arial" w:hAnsi="Arial Nova"/>
          <w:b/>
          <w:bCs/>
          <w:color w:val="000000" w:themeColor="text1"/>
        </w:rPr>
        <w:t>Threat Intelligence:</w:t>
      </w:r>
      <w:r w:rsidRPr="00A418F2">
        <w:rPr>
          <w:rFonts w:ascii="Arial Nova" w:eastAsia="Arial" w:hAnsi="Arial Nova"/>
          <w:color w:val="000000" w:themeColor="text1"/>
        </w:rPr>
        <w:t xml:space="preserve"> Assess the SOC's utilization of threat intelligence to proactively identify and mitigate potential threats. This includes evaluating the processes for gathering, </w:t>
      </w:r>
      <w:proofErr w:type="spellStart"/>
      <w:r w:rsidRPr="00A418F2">
        <w:rPr>
          <w:rFonts w:ascii="Arial Nova" w:eastAsia="Arial" w:hAnsi="Arial Nova"/>
          <w:color w:val="000000" w:themeColor="text1"/>
        </w:rPr>
        <w:t>analysing</w:t>
      </w:r>
      <w:proofErr w:type="spellEnd"/>
      <w:r w:rsidRPr="00A418F2">
        <w:rPr>
          <w:rFonts w:ascii="Arial Nova" w:eastAsia="Arial" w:hAnsi="Arial Nova"/>
          <w:color w:val="000000" w:themeColor="text1"/>
        </w:rPr>
        <w:t>, and disseminating threat information from various sources. This should align with D3FEND's "Threat Intelligence" category.</w:t>
      </w:r>
    </w:p>
    <w:p w14:paraId="003F7AC1" w14:textId="77777777" w:rsidR="005D62D8" w:rsidRPr="00A418F2" w:rsidRDefault="005D62D8" w:rsidP="006C593A">
      <w:pPr>
        <w:pStyle w:val="ListParagraph"/>
        <w:numPr>
          <w:ilvl w:val="1"/>
          <w:numId w:val="14"/>
        </w:numPr>
        <w:spacing w:after="120" w:line="240" w:lineRule="auto"/>
        <w:ind w:left="862"/>
        <w:contextualSpacing w:val="0"/>
        <w:jc w:val="both"/>
        <w:rPr>
          <w:rFonts w:ascii="Arial Nova" w:eastAsia="Arial" w:hAnsi="Arial Nova"/>
          <w:color w:val="000000" w:themeColor="text1"/>
        </w:rPr>
      </w:pPr>
      <w:r w:rsidRPr="00A418F2">
        <w:rPr>
          <w:rFonts w:ascii="Arial Nova" w:eastAsia="Arial" w:hAnsi="Arial Nova"/>
          <w:b/>
          <w:bCs/>
          <w:color w:val="000000" w:themeColor="text1"/>
        </w:rPr>
        <w:t>Automation &amp; Orchestration:</w:t>
      </w:r>
      <w:r w:rsidRPr="00A418F2">
        <w:rPr>
          <w:rFonts w:ascii="Arial Nova" w:eastAsia="Arial" w:hAnsi="Arial Nova"/>
          <w:color w:val="000000" w:themeColor="text1"/>
        </w:rPr>
        <w:t xml:space="preserve"> Evaluate the SOC's adoption and effectiveness of automation and orchestration tools to streamline security operations, improve efficiency, and reduce response times. This should align with D3FEND's "Automation and Orchestration" category.</w:t>
      </w:r>
    </w:p>
    <w:p w14:paraId="1E550034" w14:textId="77777777" w:rsidR="005D62D8" w:rsidRPr="00A418F2" w:rsidRDefault="005D62D8" w:rsidP="006C593A">
      <w:pPr>
        <w:pStyle w:val="ListParagraph"/>
        <w:numPr>
          <w:ilvl w:val="1"/>
          <w:numId w:val="14"/>
        </w:numPr>
        <w:spacing w:after="120" w:line="240" w:lineRule="auto"/>
        <w:ind w:left="862"/>
        <w:contextualSpacing w:val="0"/>
        <w:jc w:val="both"/>
        <w:rPr>
          <w:rFonts w:ascii="Arial Nova" w:eastAsia="Arial" w:hAnsi="Arial Nova"/>
          <w:color w:val="000000" w:themeColor="text1"/>
        </w:rPr>
      </w:pPr>
      <w:r w:rsidRPr="00A418F2">
        <w:rPr>
          <w:rFonts w:ascii="Arial Nova" w:eastAsia="Arial" w:hAnsi="Arial Nova"/>
          <w:b/>
          <w:bCs/>
          <w:color w:val="000000" w:themeColor="text1"/>
        </w:rPr>
        <w:t>Vulnerability Management:</w:t>
      </w:r>
      <w:r w:rsidRPr="00A418F2">
        <w:rPr>
          <w:rFonts w:ascii="Arial Nova" w:eastAsia="Arial" w:hAnsi="Arial Nova"/>
          <w:color w:val="000000" w:themeColor="text1"/>
        </w:rPr>
        <w:t xml:space="preserve"> Assess the SOC's integration with vulnerability management processes. Evaluate the ability of SOC to proactively identify and remediate security weaknesses in systems and applications. This should align with D3FEND's "Hardening" category.</w:t>
      </w:r>
    </w:p>
    <w:p w14:paraId="3DF58650" w14:textId="77777777" w:rsidR="005D62D8" w:rsidRPr="00A418F2" w:rsidRDefault="005D62D8" w:rsidP="006C593A">
      <w:pPr>
        <w:pStyle w:val="ListParagraph"/>
        <w:numPr>
          <w:ilvl w:val="1"/>
          <w:numId w:val="14"/>
        </w:numPr>
        <w:spacing w:after="120" w:line="240" w:lineRule="auto"/>
        <w:ind w:left="862"/>
        <w:contextualSpacing w:val="0"/>
        <w:jc w:val="both"/>
        <w:rPr>
          <w:rFonts w:ascii="Arial Nova" w:eastAsia="Arial" w:hAnsi="Arial Nova"/>
          <w:color w:val="000000" w:themeColor="text1"/>
        </w:rPr>
      </w:pPr>
      <w:r w:rsidRPr="00A418F2">
        <w:rPr>
          <w:rFonts w:ascii="Arial Nova" w:eastAsia="Arial" w:hAnsi="Arial Nova"/>
          <w:b/>
          <w:bCs/>
          <w:color w:val="000000" w:themeColor="text1"/>
        </w:rPr>
        <w:t>Continuous Improvement:</w:t>
      </w:r>
      <w:r w:rsidRPr="00A418F2">
        <w:rPr>
          <w:rFonts w:ascii="Arial Nova" w:eastAsia="Arial" w:hAnsi="Arial Nova"/>
          <w:color w:val="000000" w:themeColor="text1"/>
        </w:rPr>
        <w:t xml:space="preserve"> Assess the SOC's commitment to continuous improvement. Evaluate the presence of regular assessments, training programs, and exercises. Determine the SOC's ability to incorporate lessons learned from incidents and adapt to evolving threats. This should align with D3FEND's overall framework and its emphasis on iterative improvement.</w:t>
      </w:r>
    </w:p>
    <w:p w14:paraId="0F2E6E80" w14:textId="77777777" w:rsidR="005D62D8" w:rsidRPr="00A418F2" w:rsidRDefault="005D62D8" w:rsidP="006C593A">
      <w:pPr>
        <w:pStyle w:val="ListParagraph"/>
        <w:numPr>
          <w:ilvl w:val="1"/>
          <w:numId w:val="14"/>
        </w:numPr>
        <w:spacing w:after="120" w:line="240" w:lineRule="auto"/>
        <w:ind w:left="862"/>
        <w:jc w:val="both"/>
        <w:rPr>
          <w:rFonts w:ascii="Arial Nova" w:eastAsia="Arial" w:hAnsi="Arial Nova"/>
          <w:color w:val="000000" w:themeColor="text1"/>
        </w:rPr>
      </w:pPr>
      <w:r w:rsidRPr="00A418F2">
        <w:rPr>
          <w:rFonts w:ascii="Arial Nova" w:eastAsia="Arial" w:hAnsi="Arial Nova"/>
          <w:b/>
          <w:bCs/>
          <w:color w:val="000000" w:themeColor="text1"/>
        </w:rPr>
        <w:t>Correlation Capability:</w:t>
      </w:r>
      <w:r w:rsidRPr="00A418F2">
        <w:rPr>
          <w:rFonts w:ascii="Arial Nova" w:eastAsia="Arial" w:hAnsi="Arial Nova"/>
          <w:color w:val="000000" w:themeColor="text1"/>
        </w:rPr>
        <w:t xml:space="preserve"> Evaluate the SOC's ability to correlate security events from multiple sources to identify patterns, trends, and potential attacks. Assess the use of tools like SIEMs and security analytics platforms to achieve effective correlation and context enrichment. This should align with D3FEND's "Detection and Analysis" category.</w:t>
      </w:r>
    </w:p>
    <w:p w14:paraId="0351EA43" w14:textId="77777777" w:rsidR="005D62D8" w:rsidRDefault="005D62D8" w:rsidP="005D62D8">
      <w:pPr>
        <w:pStyle w:val="ListParagraph"/>
        <w:spacing w:after="120"/>
        <w:ind w:left="862"/>
        <w:jc w:val="both"/>
        <w:rPr>
          <w:rFonts w:ascii="Arial Nova" w:eastAsia="Arial" w:hAnsi="Arial Nova"/>
          <w:color w:val="000000" w:themeColor="text1"/>
        </w:rPr>
      </w:pPr>
    </w:p>
    <w:p w14:paraId="49E47332" w14:textId="77777777" w:rsidR="0042625F" w:rsidRDefault="0042625F" w:rsidP="005D62D8">
      <w:pPr>
        <w:pStyle w:val="ListParagraph"/>
        <w:spacing w:after="120"/>
        <w:ind w:left="862"/>
        <w:jc w:val="both"/>
        <w:rPr>
          <w:rFonts w:ascii="Arial Nova" w:eastAsia="Arial" w:hAnsi="Arial Nova"/>
          <w:color w:val="000000" w:themeColor="text1"/>
        </w:rPr>
      </w:pPr>
    </w:p>
    <w:p w14:paraId="7183F27F" w14:textId="77777777" w:rsidR="0042625F" w:rsidRDefault="0042625F" w:rsidP="005D62D8">
      <w:pPr>
        <w:pStyle w:val="ListParagraph"/>
        <w:spacing w:after="120"/>
        <w:ind w:left="862"/>
        <w:jc w:val="both"/>
        <w:rPr>
          <w:rFonts w:ascii="Arial Nova" w:eastAsia="Arial" w:hAnsi="Arial Nova"/>
          <w:color w:val="000000" w:themeColor="text1"/>
        </w:rPr>
      </w:pPr>
    </w:p>
    <w:p w14:paraId="4E9A4C14" w14:textId="77777777" w:rsidR="0042625F" w:rsidRPr="00A418F2" w:rsidRDefault="0042625F" w:rsidP="005D62D8">
      <w:pPr>
        <w:pStyle w:val="ListParagraph"/>
        <w:spacing w:after="120"/>
        <w:ind w:left="862"/>
        <w:jc w:val="both"/>
        <w:rPr>
          <w:rFonts w:ascii="Arial Nova" w:eastAsia="Arial" w:hAnsi="Arial Nova"/>
          <w:color w:val="000000" w:themeColor="text1"/>
        </w:rPr>
      </w:pPr>
    </w:p>
    <w:p w14:paraId="7894C3EF" w14:textId="77777777" w:rsidR="005D62D8" w:rsidRPr="00A418F2" w:rsidRDefault="005D62D8" w:rsidP="006C593A">
      <w:pPr>
        <w:pStyle w:val="ListParagraph"/>
        <w:numPr>
          <w:ilvl w:val="2"/>
          <w:numId w:val="11"/>
        </w:numPr>
        <w:spacing w:after="120" w:line="240" w:lineRule="auto"/>
        <w:ind w:left="567" w:hanging="425"/>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lastRenderedPageBreak/>
        <w:t>SOC</w:t>
      </w:r>
      <w:r w:rsidRPr="00A418F2">
        <w:rPr>
          <w:rFonts w:ascii="Arial Nova" w:eastAsia="Arial" w:hAnsi="Arial Nova"/>
          <w:color w:val="000000" w:themeColor="text1"/>
        </w:rPr>
        <w:t xml:space="preserve"> </w:t>
      </w:r>
      <w:r w:rsidRPr="00A418F2">
        <w:rPr>
          <w:rFonts w:ascii="Arial Nova" w:eastAsia="Arial" w:hAnsi="Arial Nova"/>
          <w:b/>
          <w:bCs/>
          <w:color w:val="000000" w:themeColor="text1"/>
        </w:rPr>
        <w:t>Capability Enhancement</w:t>
      </w:r>
    </w:p>
    <w:p w14:paraId="7E2D9F7C" w14:textId="77777777" w:rsidR="005D62D8" w:rsidRPr="00A418F2" w:rsidRDefault="005D62D8" w:rsidP="005D62D8">
      <w:pPr>
        <w:spacing w:after="120"/>
        <w:ind w:left="567"/>
        <w:jc w:val="both"/>
        <w:rPr>
          <w:rFonts w:ascii="Arial Nova" w:eastAsia="Arial" w:hAnsi="Arial Nova"/>
          <w:color w:val="000000" w:themeColor="text1"/>
        </w:rPr>
      </w:pPr>
      <w:r w:rsidRPr="00A418F2">
        <w:rPr>
          <w:rFonts w:ascii="Arial Nova" w:eastAsia="Arial" w:hAnsi="Arial Nova"/>
          <w:color w:val="000000" w:themeColor="text1"/>
        </w:rPr>
        <w:t>The SOC capability enhancement planning process shall establish a structured approach to improving SOC effectiveness through strategic upgrades to people, processes, and technology. This comprehensive planning process shall identify specific improvement opportunities and develop detailed implementation strategies to enhance overall SOC capabilities. The planning methodology incorporates industry best practices and emerging threat intelligence to ensure that proposed enhancements address both current and emerging security challenges.</w:t>
      </w:r>
    </w:p>
    <w:p w14:paraId="374C4BF6" w14:textId="77777777" w:rsidR="005D62D8" w:rsidRPr="00A418F2" w:rsidRDefault="005D62D8" w:rsidP="005D62D8">
      <w:pPr>
        <w:spacing w:after="120"/>
        <w:ind w:left="567"/>
        <w:jc w:val="both"/>
        <w:rPr>
          <w:rFonts w:ascii="Arial Nova" w:eastAsia="Arial" w:hAnsi="Arial Nova"/>
          <w:color w:val="000000" w:themeColor="text1"/>
        </w:rPr>
      </w:pPr>
      <w:r w:rsidRPr="00A418F2">
        <w:rPr>
          <w:rFonts w:ascii="Arial Nova" w:eastAsia="Arial" w:hAnsi="Arial Nova"/>
          <w:color w:val="000000" w:themeColor="text1"/>
        </w:rPr>
        <w:t>The enhancement plan includes detailed recommendations for tool integration, process optimization, and team development, with clear implementation roadmaps and success metrics. Special attention is given to ensuring that proposed enhancements align with organizational objectives and operational requirements while maintaining operational efficiency.</w:t>
      </w:r>
    </w:p>
    <w:p w14:paraId="050AF636" w14:textId="77777777" w:rsidR="005D62D8" w:rsidRPr="00A418F2" w:rsidRDefault="005D62D8" w:rsidP="006C593A">
      <w:pPr>
        <w:pStyle w:val="ListParagraph"/>
        <w:numPr>
          <w:ilvl w:val="2"/>
          <w:numId w:val="11"/>
        </w:numPr>
        <w:spacing w:after="120" w:line="240" w:lineRule="auto"/>
        <w:ind w:left="567" w:hanging="425"/>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Expected Outcome:</w:t>
      </w:r>
    </w:p>
    <w:p w14:paraId="109420EE" w14:textId="77777777" w:rsidR="005D62D8" w:rsidRPr="00A418F2" w:rsidRDefault="005D62D8" w:rsidP="005D62D8">
      <w:pPr>
        <w:pStyle w:val="ListParagraph"/>
        <w:spacing w:after="120"/>
        <w:ind w:left="567"/>
        <w:contextualSpacing w:val="0"/>
        <w:jc w:val="both"/>
        <w:rPr>
          <w:rFonts w:ascii="Arial Nova" w:eastAsia="Arial" w:hAnsi="Arial Nova"/>
          <w:color w:val="000000" w:themeColor="text1"/>
        </w:rPr>
      </w:pPr>
      <w:r w:rsidRPr="00A418F2">
        <w:rPr>
          <w:rFonts w:ascii="Arial Nova" w:eastAsia="Arial" w:hAnsi="Arial Nova"/>
          <w:color w:val="000000" w:themeColor="text1"/>
        </w:rPr>
        <w:t>Each year, the consultants shall evaluate existing SOC processes, tools, and team capabilities and submit a SOC Current State Assessment Report. They shall identify gaps in monitoring, detection, and response, followed by the submission of a SOC Gap Analysis Report. The assessment will be conducted based on the NIST Capability Maturity Model, resulting in a SOC Maturity Assessment Report. Additionally, they shall evaluate the effectiveness of threat intelligence integration and automation, documented in a Threat Intelligence and Automation Review Report. To enhance SOC efficiency, they will define KPIs/KRIs and provide a SOC Performance Metrics Report. Based on the findings, they shall recommend a SOC Enhancement Roadmap along with mitigation strategies for identified security gaps. Finally, after POWERGRID implements the recommended compliance measures, the consultants shall validate the effectiveness of the implemented activities.</w:t>
      </w:r>
    </w:p>
    <w:p w14:paraId="696C72A2" w14:textId="77777777" w:rsidR="005D62D8" w:rsidRPr="00A418F2" w:rsidRDefault="005D62D8" w:rsidP="006C593A">
      <w:pPr>
        <w:pStyle w:val="ListParagraph"/>
        <w:numPr>
          <w:ilvl w:val="1"/>
          <w:numId w:val="11"/>
        </w:numPr>
        <w:spacing w:after="120" w:line="240" w:lineRule="auto"/>
        <w:ind w:left="567" w:hanging="425"/>
        <w:jc w:val="both"/>
        <w:rPr>
          <w:rFonts w:ascii="Arial Nova" w:eastAsia="Arial" w:hAnsi="Arial Nova"/>
          <w:b/>
          <w:color w:val="000000" w:themeColor="text1"/>
        </w:rPr>
      </w:pPr>
      <w:r w:rsidRPr="00A418F2">
        <w:rPr>
          <w:rFonts w:ascii="Arial Nova" w:eastAsia="Arial" w:hAnsi="Arial Nova"/>
          <w:b/>
          <w:color w:val="000000" w:themeColor="text1"/>
        </w:rPr>
        <w:t>Security Metrics Program, KPI/KRI identification, recommendation/guidance for implementation dashboard visualization</w:t>
      </w:r>
    </w:p>
    <w:p w14:paraId="0076A2F9" w14:textId="77777777" w:rsidR="005D62D8" w:rsidRPr="00A418F2" w:rsidRDefault="005D62D8" w:rsidP="005D62D8">
      <w:pPr>
        <w:pStyle w:val="ListParagraph"/>
        <w:spacing w:after="120"/>
        <w:ind w:left="567"/>
        <w:jc w:val="both"/>
        <w:rPr>
          <w:rFonts w:ascii="Arial Nova" w:eastAsia="Arial" w:hAnsi="Arial Nova"/>
          <w:b/>
          <w:color w:val="000000" w:themeColor="text1"/>
        </w:rPr>
      </w:pPr>
    </w:p>
    <w:p w14:paraId="6256D012" w14:textId="77777777" w:rsidR="005D62D8" w:rsidRPr="00A418F2" w:rsidRDefault="005D62D8" w:rsidP="006C593A">
      <w:pPr>
        <w:pStyle w:val="ListParagraph"/>
        <w:numPr>
          <w:ilvl w:val="2"/>
          <w:numId w:val="11"/>
        </w:numPr>
        <w:spacing w:after="120" w:line="240" w:lineRule="auto"/>
        <w:ind w:left="567" w:hanging="425"/>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KPI/KRI Framework Identification, Security Assessment and Recommendations</w:t>
      </w:r>
    </w:p>
    <w:p w14:paraId="3779236C" w14:textId="77777777" w:rsidR="005D62D8" w:rsidRPr="00A418F2" w:rsidRDefault="005D62D8" w:rsidP="005D62D8">
      <w:pPr>
        <w:spacing w:after="120"/>
        <w:ind w:left="567"/>
        <w:jc w:val="both"/>
        <w:rPr>
          <w:rFonts w:ascii="Arial Nova" w:eastAsia="Arial" w:hAnsi="Arial Nova"/>
          <w:color w:val="000000" w:themeColor="text1"/>
        </w:rPr>
      </w:pPr>
      <w:r w:rsidRPr="00A418F2">
        <w:rPr>
          <w:rFonts w:ascii="Arial Nova" w:eastAsia="Arial" w:hAnsi="Arial Nova"/>
          <w:color w:val="000000" w:themeColor="text1"/>
        </w:rPr>
        <w:t>The Key Performance Indicator (KPI) and Key Risk Indicator (KRI) framework establishes comprehensive measures for evaluating security program effectiveness and risk posture. This sophisticated framework incorporates both leading and lagging indicators to provide a complete view of security performance and emerging risks. The scope includes assessment, identification of security gaps and providing recommendations for the design of KPI/KRI metrics to support data-driven decision making and continuous improvement of security operations. The consultants shall identify KPI/KRI points derived from mapped controls refereeing</w:t>
      </w:r>
      <w:r w:rsidRPr="00A418F2" w:rsidDel="003C36BA">
        <w:rPr>
          <w:rFonts w:ascii="Arial Nova" w:eastAsia="Arial" w:hAnsi="Arial Nova"/>
          <w:color w:val="000000" w:themeColor="text1"/>
        </w:rPr>
        <w:t xml:space="preserve"> </w:t>
      </w:r>
      <w:r w:rsidRPr="00A418F2">
        <w:rPr>
          <w:rFonts w:ascii="Arial Nova" w:eastAsia="Arial" w:hAnsi="Arial Nova"/>
          <w:color w:val="000000" w:themeColor="text1"/>
        </w:rPr>
        <w:t>NCRF, ISO/IEC 27001, ISO/IEC 27019, NIST CSF, IEC 62443, NERC CIP, and MITRE D3FEND, and any other relevant cyber security standard/framework at the time of assessment. The Metrics categories shall include the followings but not limited to:</w:t>
      </w:r>
    </w:p>
    <w:p w14:paraId="3D50C638" w14:textId="77777777" w:rsidR="005D62D8" w:rsidRPr="00A418F2" w:rsidRDefault="005D62D8" w:rsidP="006C593A">
      <w:pPr>
        <w:pStyle w:val="ListParagraph"/>
        <w:numPr>
          <w:ilvl w:val="0"/>
          <w:numId w:val="6"/>
        </w:numPr>
        <w:spacing w:after="0" w:line="240" w:lineRule="auto"/>
        <w:ind w:left="1145"/>
        <w:contextualSpacing w:val="0"/>
        <w:jc w:val="both"/>
        <w:rPr>
          <w:rFonts w:ascii="Arial Nova" w:eastAsia="Arial" w:hAnsi="Arial Nova"/>
          <w:color w:val="000000" w:themeColor="text1"/>
        </w:rPr>
      </w:pPr>
      <w:r w:rsidRPr="00A418F2">
        <w:rPr>
          <w:rFonts w:ascii="Arial Nova" w:eastAsia="Arial" w:hAnsi="Arial Nova"/>
          <w:color w:val="000000" w:themeColor="text1"/>
        </w:rPr>
        <w:t xml:space="preserve">Operational Effectiveness: Measures of security control performance </w:t>
      </w:r>
    </w:p>
    <w:p w14:paraId="5ED11FF8" w14:textId="77777777" w:rsidR="005D62D8" w:rsidRPr="00A418F2" w:rsidRDefault="005D62D8" w:rsidP="006C593A">
      <w:pPr>
        <w:pStyle w:val="ListParagraph"/>
        <w:numPr>
          <w:ilvl w:val="1"/>
          <w:numId w:val="17"/>
        </w:numPr>
        <w:spacing w:after="0" w:line="240" w:lineRule="auto"/>
        <w:ind w:left="1859"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Detection rates</w:t>
      </w:r>
    </w:p>
    <w:p w14:paraId="17C44DD4" w14:textId="77777777" w:rsidR="005D62D8" w:rsidRPr="00A418F2" w:rsidRDefault="005D62D8" w:rsidP="006C593A">
      <w:pPr>
        <w:pStyle w:val="ListParagraph"/>
        <w:numPr>
          <w:ilvl w:val="1"/>
          <w:numId w:val="17"/>
        </w:numPr>
        <w:spacing w:after="0" w:line="240" w:lineRule="auto"/>
        <w:ind w:left="1859"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Response times</w:t>
      </w:r>
    </w:p>
    <w:p w14:paraId="60EA8499" w14:textId="77777777" w:rsidR="005D62D8" w:rsidRPr="00A418F2" w:rsidRDefault="005D62D8" w:rsidP="006C593A">
      <w:pPr>
        <w:pStyle w:val="ListParagraph"/>
        <w:numPr>
          <w:ilvl w:val="1"/>
          <w:numId w:val="17"/>
        </w:numPr>
        <w:spacing w:after="0" w:line="240" w:lineRule="auto"/>
        <w:ind w:left="1859"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Control effectiveness</w:t>
      </w:r>
    </w:p>
    <w:p w14:paraId="1FEDBF78" w14:textId="77777777" w:rsidR="005D62D8" w:rsidRPr="00A418F2" w:rsidRDefault="005D62D8" w:rsidP="006C593A">
      <w:pPr>
        <w:pStyle w:val="ListParagraph"/>
        <w:numPr>
          <w:ilvl w:val="0"/>
          <w:numId w:val="6"/>
        </w:numPr>
        <w:spacing w:after="0" w:line="240" w:lineRule="auto"/>
        <w:ind w:left="1145"/>
        <w:contextualSpacing w:val="0"/>
        <w:jc w:val="both"/>
        <w:rPr>
          <w:rFonts w:ascii="Arial Nova" w:eastAsia="Arial" w:hAnsi="Arial Nova"/>
          <w:color w:val="000000" w:themeColor="text1"/>
        </w:rPr>
      </w:pPr>
      <w:r w:rsidRPr="00A418F2">
        <w:rPr>
          <w:rFonts w:ascii="Arial Nova" w:eastAsia="Arial" w:hAnsi="Arial Nova"/>
          <w:color w:val="000000" w:themeColor="text1"/>
        </w:rPr>
        <w:t xml:space="preserve">Risk Management: Indicators of security risk levels </w:t>
      </w:r>
    </w:p>
    <w:p w14:paraId="7ED728EB" w14:textId="77777777" w:rsidR="005D62D8" w:rsidRPr="00A418F2" w:rsidRDefault="005D62D8" w:rsidP="006C593A">
      <w:pPr>
        <w:pStyle w:val="ListParagraph"/>
        <w:numPr>
          <w:ilvl w:val="1"/>
          <w:numId w:val="18"/>
        </w:numPr>
        <w:spacing w:after="0" w:line="240" w:lineRule="auto"/>
        <w:ind w:left="1859"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lastRenderedPageBreak/>
        <w:t>Threat exposure metrics</w:t>
      </w:r>
    </w:p>
    <w:p w14:paraId="1F49C6C5" w14:textId="77777777" w:rsidR="005D62D8" w:rsidRPr="00A418F2" w:rsidRDefault="005D62D8" w:rsidP="006C593A">
      <w:pPr>
        <w:pStyle w:val="ListParagraph"/>
        <w:numPr>
          <w:ilvl w:val="1"/>
          <w:numId w:val="18"/>
        </w:numPr>
        <w:spacing w:after="0" w:line="240" w:lineRule="auto"/>
        <w:ind w:left="1859"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Vulnerability statistics</w:t>
      </w:r>
    </w:p>
    <w:p w14:paraId="6C5B2FBB" w14:textId="77777777" w:rsidR="005D62D8" w:rsidRPr="00A418F2" w:rsidRDefault="005D62D8" w:rsidP="006C593A">
      <w:pPr>
        <w:pStyle w:val="ListParagraph"/>
        <w:numPr>
          <w:ilvl w:val="1"/>
          <w:numId w:val="18"/>
        </w:numPr>
        <w:spacing w:after="0" w:line="240" w:lineRule="auto"/>
        <w:ind w:left="1859"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Compliance status</w:t>
      </w:r>
    </w:p>
    <w:p w14:paraId="014313AC" w14:textId="77777777" w:rsidR="005D62D8" w:rsidRPr="00A418F2" w:rsidRDefault="005D62D8" w:rsidP="006C593A">
      <w:pPr>
        <w:pStyle w:val="ListParagraph"/>
        <w:numPr>
          <w:ilvl w:val="0"/>
          <w:numId w:val="6"/>
        </w:numPr>
        <w:spacing w:after="0" w:line="240" w:lineRule="auto"/>
        <w:ind w:left="1145"/>
        <w:contextualSpacing w:val="0"/>
        <w:jc w:val="both"/>
        <w:rPr>
          <w:rFonts w:ascii="Arial Nova" w:eastAsia="Arial" w:hAnsi="Arial Nova"/>
          <w:color w:val="000000" w:themeColor="text1"/>
        </w:rPr>
      </w:pPr>
      <w:r w:rsidRPr="00A418F2">
        <w:rPr>
          <w:rFonts w:ascii="Arial Nova" w:eastAsia="Arial" w:hAnsi="Arial Nova"/>
          <w:color w:val="000000" w:themeColor="text1"/>
        </w:rPr>
        <w:t xml:space="preserve">Program Maturity: Measures of security program development </w:t>
      </w:r>
    </w:p>
    <w:p w14:paraId="05564EFB" w14:textId="77777777" w:rsidR="005D62D8" w:rsidRPr="00A418F2" w:rsidRDefault="005D62D8" w:rsidP="006C593A">
      <w:pPr>
        <w:pStyle w:val="ListParagraph"/>
        <w:numPr>
          <w:ilvl w:val="1"/>
          <w:numId w:val="19"/>
        </w:numPr>
        <w:spacing w:after="0" w:line="240" w:lineRule="auto"/>
        <w:ind w:left="1859"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Capability advancement</w:t>
      </w:r>
    </w:p>
    <w:p w14:paraId="5B20AE14" w14:textId="77777777" w:rsidR="005D62D8" w:rsidRPr="00A418F2" w:rsidRDefault="005D62D8" w:rsidP="006C593A">
      <w:pPr>
        <w:pStyle w:val="ListParagraph"/>
        <w:numPr>
          <w:ilvl w:val="1"/>
          <w:numId w:val="19"/>
        </w:numPr>
        <w:spacing w:after="0" w:line="240" w:lineRule="auto"/>
        <w:ind w:left="1859" w:hanging="357"/>
        <w:jc w:val="both"/>
        <w:rPr>
          <w:rFonts w:ascii="Arial Nova" w:eastAsia="Arial" w:hAnsi="Arial Nova"/>
          <w:color w:val="000000" w:themeColor="text1"/>
        </w:rPr>
      </w:pPr>
      <w:r w:rsidRPr="00A418F2">
        <w:rPr>
          <w:rFonts w:ascii="Arial Nova" w:eastAsia="Arial" w:hAnsi="Arial Nova"/>
          <w:color w:val="000000" w:themeColor="text1"/>
        </w:rPr>
        <w:t>Process maturity</w:t>
      </w:r>
    </w:p>
    <w:p w14:paraId="0FC311C3" w14:textId="77777777" w:rsidR="005D62D8" w:rsidRPr="00A418F2" w:rsidRDefault="005D62D8" w:rsidP="006C593A">
      <w:pPr>
        <w:pStyle w:val="ListParagraph"/>
        <w:numPr>
          <w:ilvl w:val="1"/>
          <w:numId w:val="19"/>
        </w:numPr>
        <w:spacing w:after="0" w:line="240" w:lineRule="auto"/>
        <w:ind w:left="1859" w:hanging="357"/>
        <w:jc w:val="both"/>
        <w:rPr>
          <w:rFonts w:ascii="Arial Nova" w:eastAsia="Arial" w:hAnsi="Arial Nova"/>
          <w:color w:val="000000" w:themeColor="text1"/>
        </w:rPr>
      </w:pPr>
      <w:r w:rsidRPr="00A418F2">
        <w:rPr>
          <w:rFonts w:ascii="Arial Nova" w:eastAsia="Arial" w:hAnsi="Arial Nova"/>
          <w:color w:val="000000" w:themeColor="text1"/>
        </w:rPr>
        <w:t>Team effectiveness</w:t>
      </w:r>
    </w:p>
    <w:p w14:paraId="498D2DEC" w14:textId="77777777" w:rsidR="005D62D8" w:rsidRPr="00A418F2" w:rsidRDefault="005D62D8" w:rsidP="005D62D8">
      <w:pPr>
        <w:pStyle w:val="ListParagraph"/>
        <w:ind w:left="1859"/>
        <w:jc w:val="both"/>
        <w:rPr>
          <w:rFonts w:ascii="Arial Nova" w:eastAsia="Arial" w:hAnsi="Arial Nova"/>
          <w:color w:val="000000" w:themeColor="text1"/>
        </w:rPr>
      </w:pPr>
    </w:p>
    <w:p w14:paraId="48278688" w14:textId="77777777" w:rsidR="005D62D8" w:rsidRPr="00A418F2" w:rsidRDefault="005D62D8" w:rsidP="006C593A">
      <w:pPr>
        <w:pStyle w:val="ListParagraph"/>
        <w:numPr>
          <w:ilvl w:val="2"/>
          <w:numId w:val="11"/>
        </w:numPr>
        <w:spacing w:after="120" w:line="240" w:lineRule="auto"/>
        <w:ind w:left="567" w:hanging="425"/>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Guidance for Dashboard Development</w:t>
      </w:r>
    </w:p>
    <w:p w14:paraId="2F60FA68"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 xml:space="preserve">The consultant shall provide guidance for implementation of visualization dashboards for providing insights through various visual elements. These may include trend lines </w:t>
      </w:r>
      <w:bookmarkStart w:id="0" w:name="_Hlk191031537"/>
      <w:r w:rsidRPr="00A418F2">
        <w:rPr>
          <w:rFonts w:ascii="Arial Nova" w:eastAsia="Arial" w:hAnsi="Arial Nova"/>
          <w:color w:val="000000" w:themeColor="text1"/>
        </w:rPr>
        <w:t>to track KPI status</w:t>
      </w:r>
      <w:bookmarkEnd w:id="0"/>
      <w:r w:rsidRPr="00A418F2">
        <w:rPr>
          <w:rFonts w:ascii="Arial Nova" w:eastAsia="Arial" w:hAnsi="Arial Nova"/>
          <w:color w:val="000000" w:themeColor="text1"/>
        </w:rPr>
        <w:t xml:space="preserve">, heat maps or other visualizations to identify high-risk areas (KRI), and bar charts to </w:t>
      </w:r>
      <w:proofErr w:type="spellStart"/>
      <w:r w:rsidRPr="00A418F2">
        <w:rPr>
          <w:rFonts w:ascii="Arial Nova" w:eastAsia="Arial" w:hAnsi="Arial Nova"/>
          <w:color w:val="000000" w:themeColor="text1"/>
        </w:rPr>
        <w:t>analyse</w:t>
      </w:r>
      <w:proofErr w:type="spellEnd"/>
      <w:r w:rsidRPr="00A418F2">
        <w:rPr>
          <w:rFonts w:ascii="Arial Nova" w:eastAsia="Arial" w:hAnsi="Arial Nova"/>
          <w:color w:val="000000" w:themeColor="text1"/>
        </w:rPr>
        <w:t xml:space="preserve"> incident types and prioritize resource allocation. Consultants shall also suggest tools for implementation of visualization dashboard to POWERGRID. The consultants shall also provide guidance/recommendations in preparing the detailed software development requisition document which is an essential part in the requirement gather phase of the SDLC for the dashboard creation.</w:t>
      </w:r>
    </w:p>
    <w:p w14:paraId="367329F2"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 xml:space="preserve">The suggestions for dashboard shall effectively support decision-making at different organizational levels while maintaining data accuracy and timeliness. </w:t>
      </w:r>
    </w:p>
    <w:p w14:paraId="7B1CEB4C"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The scope includes providing guidance for implementation of dashboard using but not limited to the following: -</w:t>
      </w:r>
    </w:p>
    <w:p w14:paraId="1F7BC044" w14:textId="77777777" w:rsidR="005D62D8" w:rsidRPr="00A418F2" w:rsidRDefault="005D62D8" w:rsidP="006C593A">
      <w:pPr>
        <w:pStyle w:val="ListParagraph"/>
        <w:numPr>
          <w:ilvl w:val="0"/>
          <w:numId w:val="7"/>
        </w:numPr>
        <w:spacing w:after="0" w:line="240" w:lineRule="auto"/>
        <w:ind w:left="1298"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SOC Capability Evaluation Report</w:t>
      </w:r>
    </w:p>
    <w:p w14:paraId="698BBBB4" w14:textId="77777777" w:rsidR="005D62D8" w:rsidRPr="00A418F2" w:rsidRDefault="005D62D8" w:rsidP="006C593A">
      <w:pPr>
        <w:pStyle w:val="ListParagraph"/>
        <w:numPr>
          <w:ilvl w:val="0"/>
          <w:numId w:val="7"/>
        </w:numPr>
        <w:spacing w:after="0" w:line="240" w:lineRule="auto"/>
        <w:ind w:left="1298"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Policy and Procedure Gap Analysis Report</w:t>
      </w:r>
    </w:p>
    <w:p w14:paraId="30ACE1C7" w14:textId="77777777" w:rsidR="005D62D8" w:rsidRPr="00A418F2" w:rsidRDefault="005D62D8" w:rsidP="006C593A">
      <w:pPr>
        <w:pStyle w:val="ListParagraph"/>
        <w:numPr>
          <w:ilvl w:val="0"/>
          <w:numId w:val="7"/>
        </w:numPr>
        <w:spacing w:after="0" w:line="240" w:lineRule="auto"/>
        <w:ind w:left="1298"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 xml:space="preserve">Enhancement Plans </w:t>
      </w:r>
    </w:p>
    <w:p w14:paraId="735E4CA8" w14:textId="77777777" w:rsidR="005D62D8" w:rsidRPr="00A418F2" w:rsidRDefault="005D62D8" w:rsidP="006C593A">
      <w:pPr>
        <w:pStyle w:val="ListParagraph"/>
        <w:numPr>
          <w:ilvl w:val="1"/>
          <w:numId w:val="20"/>
        </w:numPr>
        <w:spacing w:after="0" w:line="240" w:lineRule="auto"/>
        <w:ind w:left="2018"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Security Control Implementation Roadmap</w:t>
      </w:r>
    </w:p>
    <w:p w14:paraId="03AFC02C" w14:textId="77777777" w:rsidR="005D62D8" w:rsidRPr="00A418F2" w:rsidRDefault="005D62D8" w:rsidP="006C593A">
      <w:pPr>
        <w:pStyle w:val="ListParagraph"/>
        <w:numPr>
          <w:ilvl w:val="1"/>
          <w:numId w:val="20"/>
        </w:numPr>
        <w:spacing w:after="0" w:line="240" w:lineRule="auto"/>
        <w:ind w:left="2018"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SOC Enhancement Strategy</w:t>
      </w:r>
    </w:p>
    <w:p w14:paraId="086C0445" w14:textId="77777777" w:rsidR="005D62D8" w:rsidRPr="00A418F2" w:rsidRDefault="005D62D8" w:rsidP="006C593A">
      <w:pPr>
        <w:pStyle w:val="ListParagraph"/>
        <w:numPr>
          <w:ilvl w:val="1"/>
          <w:numId w:val="20"/>
        </w:numPr>
        <w:spacing w:after="0" w:line="240" w:lineRule="auto"/>
        <w:ind w:left="2018"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Policy Development Framework</w:t>
      </w:r>
    </w:p>
    <w:p w14:paraId="32EC8BF5" w14:textId="77777777" w:rsidR="005D62D8" w:rsidRPr="00A418F2" w:rsidRDefault="005D62D8" w:rsidP="006C593A">
      <w:pPr>
        <w:pStyle w:val="ListParagraph"/>
        <w:numPr>
          <w:ilvl w:val="1"/>
          <w:numId w:val="20"/>
        </w:numPr>
        <w:spacing w:after="0" w:line="240" w:lineRule="auto"/>
        <w:ind w:left="2018"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Training and Awareness Program</w:t>
      </w:r>
    </w:p>
    <w:p w14:paraId="37C1F505" w14:textId="77777777" w:rsidR="005D62D8" w:rsidRPr="00A418F2" w:rsidRDefault="005D62D8" w:rsidP="006C593A">
      <w:pPr>
        <w:pStyle w:val="ListParagraph"/>
        <w:numPr>
          <w:ilvl w:val="0"/>
          <w:numId w:val="7"/>
        </w:numPr>
        <w:spacing w:after="0" w:line="240" w:lineRule="auto"/>
        <w:ind w:left="1298"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 xml:space="preserve">Operational Documentation </w:t>
      </w:r>
    </w:p>
    <w:p w14:paraId="26E19171" w14:textId="77777777" w:rsidR="005D62D8" w:rsidRPr="00A418F2" w:rsidRDefault="005D62D8" w:rsidP="006C593A">
      <w:pPr>
        <w:pStyle w:val="ListParagraph"/>
        <w:numPr>
          <w:ilvl w:val="0"/>
          <w:numId w:val="21"/>
        </w:numPr>
        <w:spacing w:after="0" w:line="240" w:lineRule="auto"/>
        <w:ind w:left="2018"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Updated Security Policies and Procedures</w:t>
      </w:r>
    </w:p>
    <w:p w14:paraId="3695609C" w14:textId="77777777" w:rsidR="005D62D8" w:rsidRPr="00A418F2" w:rsidRDefault="005D62D8" w:rsidP="006C593A">
      <w:pPr>
        <w:pStyle w:val="ListParagraph"/>
        <w:numPr>
          <w:ilvl w:val="0"/>
          <w:numId w:val="21"/>
        </w:numPr>
        <w:spacing w:after="0" w:line="240" w:lineRule="auto"/>
        <w:ind w:left="2018"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Technical Standards and Guidelines</w:t>
      </w:r>
    </w:p>
    <w:p w14:paraId="1BA8223B" w14:textId="77777777" w:rsidR="005D62D8" w:rsidRPr="00A418F2" w:rsidRDefault="005D62D8" w:rsidP="006C593A">
      <w:pPr>
        <w:pStyle w:val="ListParagraph"/>
        <w:numPr>
          <w:ilvl w:val="0"/>
          <w:numId w:val="21"/>
        </w:numPr>
        <w:spacing w:after="0" w:line="240" w:lineRule="auto"/>
        <w:ind w:left="2018"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Incident Response Procedures</w:t>
      </w:r>
    </w:p>
    <w:p w14:paraId="1C35F7F2" w14:textId="77777777" w:rsidR="005D62D8" w:rsidRPr="00A418F2" w:rsidRDefault="005D62D8" w:rsidP="006C593A">
      <w:pPr>
        <w:pStyle w:val="ListParagraph"/>
        <w:numPr>
          <w:ilvl w:val="0"/>
          <w:numId w:val="7"/>
        </w:numPr>
        <w:spacing w:after="0" w:line="240" w:lineRule="auto"/>
        <w:ind w:left="1298" w:hanging="357"/>
        <w:contextualSpacing w:val="0"/>
        <w:jc w:val="both"/>
        <w:rPr>
          <w:rFonts w:ascii="Arial Nova" w:eastAsia="Arial" w:hAnsi="Arial Nova"/>
          <w:color w:val="000000" w:themeColor="text1"/>
        </w:rPr>
      </w:pPr>
      <w:r w:rsidRPr="00A418F2">
        <w:rPr>
          <w:rFonts w:ascii="Arial Nova" w:eastAsia="Arial" w:hAnsi="Arial Nova"/>
          <w:color w:val="000000" w:themeColor="text1"/>
        </w:rPr>
        <w:t xml:space="preserve">Performance Metrics </w:t>
      </w:r>
    </w:p>
    <w:p w14:paraId="5D75AF77" w14:textId="77777777" w:rsidR="005D62D8" w:rsidRPr="00A418F2" w:rsidRDefault="005D62D8" w:rsidP="006C593A">
      <w:pPr>
        <w:pStyle w:val="ListParagraph"/>
        <w:numPr>
          <w:ilvl w:val="0"/>
          <w:numId w:val="22"/>
        </w:numPr>
        <w:spacing w:after="120" w:line="240" w:lineRule="auto"/>
        <w:ind w:left="2012" w:hanging="357"/>
        <w:jc w:val="both"/>
        <w:rPr>
          <w:rFonts w:ascii="Arial Nova" w:eastAsia="Arial" w:hAnsi="Arial Nova"/>
          <w:color w:val="000000" w:themeColor="text1"/>
        </w:rPr>
      </w:pPr>
      <w:r w:rsidRPr="00A418F2">
        <w:rPr>
          <w:rFonts w:ascii="Arial Nova" w:eastAsia="Arial" w:hAnsi="Arial Nova"/>
          <w:color w:val="000000" w:themeColor="text1"/>
        </w:rPr>
        <w:t>Security Scorecard Framework</w:t>
      </w:r>
    </w:p>
    <w:p w14:paraId="06D95D0C" w14:textId="77777777" w:rsidR="005D62D8" w:rsidRPr="00A418F2" w:rsidRDefault="005D62D8" w:rsidP="006C593A">
      <w:pPr>
        <w:pStyle w:val="ListParagraph"/>
        <w:numPr>
          <w:ilvl w:val="0"/>
          <w:numId w:val="22"/>
        </w:numPr>
        <w:spacing w:after="120" w:line="240" w:lineRule="auto"/>
        <w:ind w:left="2012" w:hanging="357"/>
        <w:jc w:val="both"/>
        <w:rPr>
          <w:rFonts w:ascii="Arial Nova" w:eastAsia="Arial" w:hAnsi="Arial Nova"/>
          <w:color w:val="000000" w:themeColor="text1"/>
        </w:rPr>
      </w:pPr>
      <w:r w:rsidRPr="00A418F2">
        <w:rPr>
          <w:rFonts w:ascii="Arial Nova" w:eastAsia="Arial" w:hAnsi="Arial Nova"/>
          <w:color w:val="000000" w:themeColor="text1"/>
        </w:rPr>
        <w:t>Identified KPI/KRI metrics</w:t>
      </w:r>
    </w:p>
    <w:p w14:paraId="5BD34FA7" w14:textId="77777777" w:rsidR="005D62D8" w:rsidRPr="00A418F2" w:rsidRDefault="005D62D8" w:rsidP="006C593A">
      <w:pPr>
        <w:pStyle w:val="ListParagraph"/>
        <w:numPr>
          <w:ilvl w:val="0"/>
          <w:numId w:val="22"/>
        </w:numPr>
        <w:spacing w:after="120" w:line="240" w:lineRule="auto"/>
        <w:ind w:left="2012" w:hanging="357"/>
        <w:jc w:val="both"/>
        <w:rPr>
          <w:rFonts w:ascii="Arial Nova" w:eastAsia="Arial" w:hAnsi="Arial Nova"/>
          <w:color w:val="000000" w:themeColor="text1"/>
        </w:rPr>
      </w:pPr>
      <w:r w:rsidRPr="00A418F2">
        <w:rPr>
          <w:rFonts w:ascii="Arial Nova" w:eastAsia="Arial" w:hAnsi="Arial Nova"/>
          <w:color w:val="000000" w:themeColor="text1"/>
        </w:rPr>
        <w:t>Compliance Monitoring Assessment</w:t>
      </w:r>
    </w:p>
    <w:p w14:paraId="54A39FA5" w14:textId="77777777" w:rsidR="005D62D8" w:rsidRPr="00A418F2" w:rsidRDefault="005D62D8" w:rsidP="006C593A">
      <w:pPr>
        <w:pStyle w:val="ListParagraph"/>
        <w:numPr>
          <w:ilvl w:val="0"/>
          <w:numId w:val="22"/>
        </w:numPr>
        <w:spacing w:after="120" w:line="240" w:lineRule="auto"/>
        <w:ind w:left="2012"/>
        <w:jc w:val="both"/>
        <w:rPr>
          <w:rFonts w:ascii="Arial Nova" w:eastAsia="Arial" w:hAnsi="Arial Nova"/>
          <w:color w:val="000000" w:themeColor="text1"/>
        </w:rPr>
      </w:pPr>
      <w:r w:rsidRPr="00A418F2">
        <w:rPr>
          <w:rFonts w:ascii="Arial Nova" w:eastAsia="Arial" w:hAnsi="Arial Nova"/>
          <w:color w:val="000000" w:themeColor="text1"/>
        </w:rPr>
        <w:t>Capability Maturity Assessments</w:t>
      </w:r>
    </w:p>
    <w:p w14:paraId="24305EF3" w14:textId="77777777" w:rsidR="005D62D8" w:rsidRPr="00A418F2" w:rsidRDefault="005D62D8" w:rsidP="006C593A">
      <w:pPr>
        <w:pStyle w:val="ListParagraph"/>
        <w:numPr>
          <w:ilvl w:val="0"/>
          <w:numId w:val="7"/>
        </w:numPr>
        <w:spacing w:after="120" w:line="240" w:lineRule="auto"/>
        <w:ind w:left="1298"/>
        <w:contextualSpacing w:val="0"/>
        <w:jc w:val="both"/>
        <w:rPr>
          <w:rFonts w:ascii="Arial Nova" w:eastAsia="Arial" w:hAnsi="Arial Nova"/>
          <w:color w:val="000000" w:themeColor="text1"/>
        </w:rPr>
      </w:pPr>
      <w:r w:rsidRPr="00A418F2">
        <w:rPr>
          <w:rFonts w:ascii="Arial Nova" w:eastAsia="Arial" w:hAnsi="Arial Nova"/>
          <w:color w:val="000000" w:themeColor="text1"/>
        </w:rPr>
        <w:t>Maintaining &amp; enhancing Cyber Resilience</w:t>
      </w:r>
    </w:p>
    <w:p w14:paraId="6EB75A3B" w14:textId="77777777" w:rsidR="005D62D8" w:rsidRPr="00A418F2" w:rsidRDefault="005D62D8" w:rsidP="006C593A">
      <w:pPr>
        <w:pStyle w:val="ListParagraph"/>
        <w:numPr>
          <w:ilvl w:val="0"/>
          <w:numId w:val="23"/>
        </w:numPr>
        <w:spacing w:after="120" w:line="240" w:lineRule="auto"/>
        <w:ind w:left="2018"/>
        <w:jc w:val="both"/>
        <w:rPr>
          <w:rFonts w:ascii="Arial Nova" w:eastAsia="Arial" w:hAnsi="Arial Nova"/>
          <w:color w:val="000000" w:themeColor="text1"/>
        </w:rPr>
      </w:pPr>
      <w:r w:rsidRPr="00A418F2">
        <w:rPr>
          <w:rFonts w:ascii="Arial Nova" w:eastAsia="Arial" w:hAnsi="Arial Nova"/>
          <w:color w:val="000000" w:themeColor="text1"/>
        </w:rPr>
        <w:t>Tracking Cyber Health and continual improvement posture</w:t>
      </w:r>
    </w:p>
    <w:p w14:paraId="0B0D6DFE" w14:textId="77777777" w:rsidR="005D62D8" w:rsidRPr="00A418F2" w:rsidRDefault="005D62D8" w:rsidP="006C593A">
      <w:pPr>
        <w:pStyle w:val="ListParagraph"/>
        <w:numPr>
          <w:ilvl w:val="0"/>
          <w:numId w:val="23"/>
        </w:numPr>
        <w:spacing w:after="120" w:line="240" w:lineRule="auto"/>
        <w:ind w:left="2018"/>
        <w:jc w:val="both"/>
        <w:rPr>
          <w:rFonts w:ascii="Arial Nova" w:eastAsia="Arial" w:hAnsi="Arial Nova"/>
          <w:color w:val="000000" w:themeColor="text1"/>
        </w:rPr>
      </w:pPr>
      <w:r w:rsidRPr="00A418F2">
        <w:rPr>
          <w:rFonts w:ascii="Arial Nova" w:eastAsia="Arial" w:hAnsi="Arial Nova"/>
          <w:color w:val="000000" w:themeColor="text1"/>
        </w:rPr>
        <w:t>Monthly/quarterly/Annual/Compliance Monitoring and Reporting</w:t>
      </w:r>
    </w:p>
    <w:p w14:paraId="1D4153C3" w14:textId="77777777" w:rsidR="005D62D8" w:rsidRPr="00A418F2" w:rsidRDefault="005D62D8" w:rsidP="006C593A">
      <w:pPr>
        <w:pStyle w:val="ListParagraph"/>
        <w:numPr>
          <w:ilvl w:val="0"/>
          <w:numId w:val="7"/>
        </w:numPr>
        <w:spacing w:after="120" w:line="240" w:lineRule="auto"/>
        <w:ind w:left="1298"/>
        <w:jc w:val="both"/>
        <w:rPr>
          <w:rFonts w:ascii="Arial Nova" w:eastAsia="Arial" w:hAnsi="Arial Nova"/>
          <w:color w:val="000000" w:themeColor="text1"/>
        </w:rPr>
      </w:pPr>
      <w:r w:rsidRPr="00A418F2">
        <w:rPr>
          <w:rFonts w:ascii="Arial Nova" w:eastAsia="Arial" w:hAnsi="Arial Nova"/>
          <w:color w:val="000000" w:themeColor="text1"/>
        </w:rPr>
        <w:t>Any other cyber security standard/framework relevant at the time of audit.</w:t>
      </w:r>
    </w:p>
    <w:p w14:paraId="6E3712F0" w14:textId="77777777" w:rsidR="005D62D8" w:rsidRPr="00A418F2" w:rsidRDefault="005D62D8" w:rsidP="005D62D8">
      <w:pPr>
        <w:pStyle w:val="ListParagraph"/>
        <w:spacing w:after="120"/>
        <w:jc w:val="both"/>
        <w:rPr>
          <w:rFonts w:ascii="Arial Nova" w:eastAsia="Arial" w:hAnsi="Arial Nova"/>
          <w:color w:val="000000" w:themeColor="text1"/>
        </w:rPr>
      </w:pPr>
    </w:p>
    <w:p w14:paraId="51DE7CBE" w14:textId="77777777" w:rsidR="005D62D8" w:rsidRPr="00A418F2" w:rsidRDefault="005D62D8" w:rsidP="006C593A">
      <w:pPr>
        <w:pStyle w:val="ListParagraph"/>
        <w:numPr>
          <w:ilvl w:val="2"/>
          <w:numId w:val="11"/>
        </w:numPr>
        <w:spacing w:after="120" w:line="240" w:lineRule="auto"/>
        <w:jc w:val="both"/>
        <w:rPr>
          <w:rFonts w:ascii="Arial Nova" w:eastAsia="Arial" w:hAnsi="Arial Nova"/>
          <w:b/>
          <w:bCs/>
          <w:color w:val="000000" w:themeColor="text1"/>
        </w:rPr>
      </w:pPr>
      <w:r w:rsidRPr="00A418F2">
        <w:rPr>
          <w:rFonts w:ascii="Arial Nova" w:eastAsia="Arial" w:hAnsi="Arial Nova"/>
          <w:b/>
          <w:bCs/>
          <w:color w:val="000000" w:themeColor="text1"/>
        </w:rPr>
        <w:t>Expected Outcome:</w:t>
      </w:r>
    </w:p>
    <w:p w14:paraId="5F647317" w14:textId="77777777" w:rsidR="005D62D8" w:rsidRPr="00A418F2" w:rsidRDefault="005D62D8" w:rsidP="005D62D8">
      <w:pPr>
        <w:pStyle w:val="ListParagraph"/>
        <w:spacing w:after="120"/>
        <w:ind w:left="1086"/>
        <w:jc w:val="both"/>
        <w:rPr>
          <w:rFonts w:ascii="Arial Nova" w:eastAsia="Arial" w:hAnsi="Arial Nova"/>
          <w:color w:val="000000" w:themeColor="text1"/>
        </w:rPr>
      </w:pPr>
      <w:r w:rsidRPr="00A418F2">
        <w:rPr>
          <w:rFonts w:ascii="Arial Nova" w:eastAsia="Arial" w:hAnsi="Arial Nova"/>
          <w:color w:val="000000" w:themeColor="text1"/>
        </w:rPr>
        <w:t xml:space="preserve">Each year, the consultants shall identify KPIs and KRIs metrics aligned with existing cybersecurity standard/framework applicable at the time of assessment. They shall define threshold values, risk levels, and performance targets for each metric and submit a Metrics Definition Report. The consultants shall also provide guidance in preparing the detailed software development requisition document for the </w:t>
      </w:r>
      <w:r w:rsidRPr="00A418F2">
        <w:rPr>
          <w:rFonts w:ascii="Arial Nova" w:eastAsia="Arial" w:hAnsi="Arial Nova"/>
          <w:color w:val="000000" w:themeColor="text1"/>
        </w:rPr>
        <w:lastRenderedPageBreak/>
        <w:t>dashboard visualization creation. Additionally, they shall suggest advanced analytics for predictive risk modelling and continuous improvement, recommend suitable tools for implementing a visualization dashboard, and conduct a review to validate the effectiveness of the implemented dashboard.</w:t>
      </w:r>
    </w:p>
    <w:p w14:paraId="2BA0330A"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For the above-mentioned scope, the following brief assessment activities shall be conducted annually:</w:t>
      </w:r>
    </w:p>
    <w:tbl>
      <w:tblPr>
        <w:tblW w:w="8920" w:type="dxa"/>
        <w:tblInd w:w="716" w:type="dxa"/>
        <w:tblLook w:val="04A0" w:firstRow="1" w:lastRow="0" w:firstColumn="1" w:lastColumn="0" w:noHBand="0" w:noVBand="1"/>
      </w:tblPr>
      <w:tblGrid>
        <w:gridCol w:w="850"/>
        <w:gridCol w:w="5970"/>
        <w:gridCol w:w="2100"/>
      </w:tblGrid>
      <w:tr w:rsidR="005D62D8" w:rsidRPr="00A418F2" w14:paraId="5602A457" w14:textId="77777777" w:rsidTr="00184B0A">
        <w:trPr>
          <w:trHeight w:val="285"/>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2DFDF"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S. No.</w:t>
            </w:r>
          </w:p>
        </w:tc>
        <w:tc>
          <w:tcPr>
            <w:tcW w:w="5970" w:type="dxa"/>
            <w:tcBorders>
              <w:top w:val="single" w:sz="4" w:space="0" w:color="auto"/>
              <w:left w:val="nil"/>
              <w:bottom w:val="single" w:sz="4" w:space="0" w:color="auto"/>
              <w:right w:val="single" w:sz="4" w:space="0" w:color="auto"/>
            </w:tcBorders>
            <w:shd w:val="clear" w:color="auto" w:fill="auto"/>
            <w:vAlign w:val="center"/>
            <w:hideMark/>
          </w:tcPr>
          <w:p w14:paraId="23E354AA"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Activity</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6333D1C0"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Responsible Party</w:t>
            </w:r>
          </w:p>
        </w:tc>
      </w:tr>
      <w:tr w:rsidR="005D62D8" w:rsidRPr="00A418F2" w14:paraId="1E716F6B" w14:textId="77777777" w:rsidTr="00184B0A">
        <w:trPr>
          <w:trHeight w:val="285"/>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3E678588"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1</w:t>
            </w:r>
          </w:p>
        </w:tc>
        <w:tc>
          <w:tcPr>
            <w:tcW w:w="5970" w:type="dxa"/>
            <w:tcBorders>
              <w:top w:val="nil"/>
              <w:left w:val="nil"/>
              <w:bottom w:val="single" w:sz="4" w:space="0" w:color="auto"/>
              <w:right w:val="single" w:sz="4" w:space="0" w:color="auto"/>
            </w:tcBorders>
            <w:shd w:val="clear" w:color="auto" w:fill="auto"/>
            <w:vAlign w:val="center"/>
            <w:hideMark/>
          </w:tcPr>
          <w:p w14:paraId="247A89C6"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Assessment of information security gaps in POWERGRID:</w:t>
            </w:r>
          </w:p>
          <w:p w14:paraId="0C0442D4" w14:textId="77777777" w:rsidR="005D62D8" w:rsidRPr="00A418F2" w:rsidRDefault="005D62D8" w:rsidP="006C593A">
            <w:pPr>
              <w:pStyle w:val="ListParagraph"/>
              <w:numPr>
                <w:ilvl w:val="0"/>
                <w:numId w:val="25"/>
              </w:numPr>
              <w:spacing w:after="0" w:line="240" w:lineRule="auto"/>
              <w:ind w:left="448"/>
              <w:rPr>
                <w:rFonts w:ascii="Arial Nova" w:hAnsi="Arial Nova"/>
                <w:color w:val="000000" w:themeColor="text1"/>
                <w:szCs w:val="22"/>
                <w:lang w:eastAsia="en-IN"/>
              </w:rPr>
            </w:pPr>
            <w:r w:rsidRPr="00A418F2">
              <w:rPr>
                <w:rFonts w:ascii="Arial Nova" w:hAnsi="Arial Nova"/>
                <w:color w:val="000000" w:themeColor="text1"/>
                <w:szCs w:val="22"/>
                <w:lang w:eastAsia="en-IN"/>
              </w:rPr>
              <w:t>Policy, Procedure, Documentation and Process Review/ Assessment</w:t>
            </w:r>
          </w:p>
          <w:p w14:paraId="1A8486F3" w14:textId="77777777" w:rsidR="005D62D8" w:rsidRPr="00A418F2" w:rsidRDefault="005D62D8" w:rsidP="006C593A">
            <w:pPr>
              <w:pStyle w:val="ListParagraph"/>
              <w:numPr>
                <w:ilvl w:val="0"/>
                <w:numId w:val="25"/>
              </w:numPr>
              <w:spacing w:after="0" w:line="240" w:lineRule="auto"/>
              <w:ind w:left="448"/>
              <w:rPr>
                <w:rFonts w:ascii="Arial Nova" w:hAnsi="Arial Nova"/>
                <w:color w:val="000000" w:themeColor="text1"/>
                <w:szCs w:val="22"/>
                <w:lang w:eastAsia="en-IN"/>
              </w:rPr>
            </w:pPr>
            <w:r w:rsidRPr="00A418F2">
              <w:rPr>
                <w:rFonts w:ascii="Arial Nova" w:hAnsi="Arial Nova"/>
                <w:color w:val="000000" w:themeColor="text1"/>
                <w:szCs w:val="22"/>
                <w:lang w:eastAsia="en-IN"/>
              </w:rPr>
              <w:t>Infrastructure Architecture Security Review and Defence-In-Depth Analysis</w:t>
            </w:r>
          </w:p>
          <w:p w14:paraId="6939DA23" w14:textId="77777777" w:rsidR="005D62D8" w:rsidRPr="00A418F2" w:rsidRDefault="005D62D8" w:rsidP="006C593A">
            <w:pPr>
              <w:pStyle w:val="ListParagraph"/>
              <w:numPr>
                <w:ilvl w:val="0"/>
                <w:numId w:val="25"/>
              </w:numPr>
              <w:spacing w:after="0" w:line="240" w:lineRule="auto"/>
              <w:ind w:left="448"/>
              <w:rPr>
                <w:rFonts w:ascii="Arial Nova" w:hAnsi="Arial Nova"/>
                <w:color w:val="000000" w:themeColor="text1"/>
                <w:szCs w:val="22"/>
                <w:lang w:eastAsia="en-IN"/>
              </w:rPr>
            </w:pPr>
            <w:r w:rsidRPr="00A418F2">
              <w:rPr>
                <w:rFonts w:ascii="Arial Nova" w:hAnsi="Arial Nova"/>
                <w:color w:val="000000" w:themeColor="text1"/>
                <w:szCs w:val="22"/>
                <w:lang w:eastAsia="en-IN"/>
              </w:rPr>
              <w:t>Security Operations Centre assessment and enhancement</w:t>
            </w:r>
          </w:p>
        </w:tc>
        <w:tc>
          <w:tcPr>
            <w:tcW w:w="2100" w:type="dxa"/>
            <w:tcBorders>
              <w:top w:val="nil"/>
              <w:left w:val="nil"/>
              <w:bottom w:val="single" w:sz="4" w:space="0" w:color="auto"/>
              <w:right w:val="single" w:sz="4" w:space="0" w:color="auto"/>
            </w:tcBorders>
            <w:shd w:val="clear" w:color="auto" w:fill="auto"/>
            <w:vAlign w:val="center"/>
            <w:hideMark/>
          </w:tcPr>
          <w:p w14:paraId="6B7263F4"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Consultants</w:t>
            </w:r>
          </w:p>
        </w:tc>
      </w:tr>
      <w:tr w:rsidR="005D62D8" w:rsidRPr="00A418F2" w14:paraId="62263774" w14:textId="77777777" w:rsidTr="00184B0A">
        <w:trPr>
          <w:trHeight w:val="570"/>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00CC2561"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2</w:t>
            </w:r>
          </w:p>
        </w:tc>
        <w:tc>
          <w:tcPr>
            <w:tcW w:w="5970" w:type="dxa"/>
            <w:tcBorders>
              <w:top w:val="nil"/>
              <w:left w:val="nil"/>
              <w:bottom w:val="single" w:sz="4" w:space="0" w:color="auto"/>
              <w:right w:val="single" w:sz="4" w:space="0" w:color="auto"/>
            </w:tcBorders>
            <w:shd w:val="clear" w:color="auto" w:fill="auto"/>
            <w:vAlign w:val="center"/>
            <w:hideMark/>
          </w:tcPr>
          <w:p w14:paraId="32C2B4FC"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Submission of a report on identified security gaps and corresponding recommendations</w:t>
            </w:r>
          </w:p>
        </w:tc>
        <w:tc>
          <w:tcPr>
            <w:tcW w:w="2100" w:type="dxa"/>
            <w:tcBorders>
              <w:top w:val="nil"/>
              <w:left w:val="nil"/>
              <w:bottom w:val="single" w:sz="4" w:space="0" w:color="auto"/>
              <w:right w:val="single" w:sz="4" w:space="0" w:color="auto"/>
            </w:tcBorders>
            <w:shd w:val="clear" w:color="auto" w:fill="auto"/>
            <w:vAlign w:val="center"/>
            <w:hideMark/>
          </w:tcPr>
          <w:p w14:paraId="72A5EA9B"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Consultants</w:t>
            </w:r>
          </w:p>
        </w:tc>
      </w:tr>
      <w:tr w:rsidR="005D62D8" w:rsidRPr="00A418F2" w14:paraId="4001C957" w14:textId="77777777" w:rsidTr="00184B0A">
        <w:trPr>
          <w:trHeight w:val="570"/>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6F2A3807"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3</w:t>
            </w:r>
          </w:p>
        </w:tc>
        <w:tc>
          <w:tcPr>
            <w:tcW w:w="5970" w:type="dxa"/>
            <w:tcBorders>
              <w:top w:val="nil"/>
              <w:left w:val="nil"/>
              <w:bottom w:val="single" w:sz="4" w:space="0" w:color="auto"/>
              <w:right w:val="single" w:sz="4" w:space="0" w:color="auto"/>
            </w:tcBorders>
            <w:shd w:val="clear" w:color="auto" w:fill="auto"/>
            <w:vAlign w:val="center"/>
            <w:hideMark/>
          </w:tcPr>
          <w:p w14:paraId="41B44B0C"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Security Metrics Program, KPI/KRI identification, recommendation/guidance for implementation/updating of dashboard visualization</w:t>
            </w:r>
          </w:p>
        </w:tc>
        <w:tc>
          <w:tcPr>
            <w:tcW w:w="2100" w:type="dxa"/>
            <w:tcBorders>
              <w:top w:val="nil"/>
              <w:left w:val="nil"/>
              <w:bottom w:val="single" w:sz="4" w:space="0" w:color="auto"/>
              <w:right w:val="single" w:sz="4" w:space="0" w:color="auto"/>
            </w:tcBorders>
            <w:shd w:val="clear" w:color="auto" w:fill="auto"/>
            <w:vAlign w:val="center"/>
            <w:hideMark/>
          </w:tcPr>
          <w:p w14:paraId="3CAFD16B"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Consultants</w:t>
            </w:r>
          </w:p>
        </w:tc>
      </w:tr>
      <w:tr w:rsidR="005D62D8" w:rsidRPr="00A418F2" w14:paraId="4AB999EB" w14:textId="77777777" w:rsidTr="00184B0A">
        <w:trPr>
          <w:trHeight w:val="285"/>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1F95F5C9"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4</w:t>
            </w:r>
          </w:p>
        </w:tc>
        <w:tc>
          <w:tcPr>
            <w:tcW w:w="5970" w:type="dxa"/>
            <w:tcBorders>
              <w:top w:val="nil"/>
              <w:left w:val="nil"/>
              <w:bottom w:val="single" w:sz="4" w:space="0" w:color="auto"/>
              <w:right w:val="single" w:sz="4" w:space="0" w:color="auto"/>
            </w:tcBorders>
            <w:shd w:val="clear" w:color="auto" w:fill="auto"/>
            <w:vAlign w:val="center"/>
            <w:hideMark/>
          </w:tcPr>
          <w:p w14:paraId="5702D811"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Compliance activities for mitigating identified security gaps</w:t>
            </w:r>
          </w:p>
        </w:tc>
        <w:tc>
          <w:tcPr>
            <w:tcW w:w="2100" w:type="dxa"/>
            <w:tcBorders>
              <w:top w:val="nil"/>
              <w:left w:val="nil"/>
              <w:bottom w:val="single" w:sz="4" w:space="0" w:color="auto"/>
              <w:right w:val="single" w:sz="4" w:space="0" w:color="auto"/>
            </w:tcBorders>
            <w:shd w:val="clear" w:color="auto" w:fill="auto"/>
            <w:vAlign w:val="center"/>
            <w:hideMark/>
          </w:tcPr>
          <w:p w14:paraId="2327D8EC"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POWERGRID</w:t>
            </w:r>
          </w:p>
        </w:tc>
      </w:tr>
      <w:tr w:rsidR="005D62D8" w:rsidRPr="00A418F2" w14:paraId="5FDDA925" w14:textId="77777777" w:rsidTr="00184B0A">
        <w:trPr>
          <w:trHeight w:val="285"/>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4D52B173"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5</w:t>
            </w:r>
          </w:p>
        </w:tc>
        <w:tc>
          <w:tcPr>
            <w:tcW w:w="5970" w:type="dxa"/>
            <w:tcBorders>
              <w:top w:val="nil"/>
              <w:left w:val="nil"/>
              <w:bottom w:val="single" w:sz="4" w:space="0" w:color="auto"/>
              <w:right w:val="single" w:sz="4" w:space="0" w:color="auto"/>
            </w:tcBorders>
            <w:shd w:val="clear" w:color="auto" w:fill="auto"/>
            <w:vAlign w:val="center"/>
            <w:hideMark/>
          </w:tcPr>
          <w:p w14:paraId="786E63E3"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Validation of compliance activities conducted by POWERGRID</w:t>
            </w:r>
          </w:p>
        </w:tc>
        <w:tc>
          <w:tcPr>
            <w:tcW w:w="2100" w:type="dxa"/>
            <w:tcBorders>
              <w:top w:val="nil"/>
              <w:left w:val="nil"/>
              <w:bottom w:val="single" w:sz="4" w:space="0" w:color="auto"/>
              <w:right w:val="single" w:sz="4" w:space="0" w:color="auto"/>
            </w:tcBorders>
            <w:shd w:val="clear" w:color="auto" w:fill="auto"/>
            <w:vAlign w:val="center"/>
            <w:hideMark/>
          </w:tcPr>
          <w:p w14:paraId="3DFAF6DF"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Consultants</w:t>
            </w:r>
          </w:p>
        </w:tc>
      </w:tr>
    </w:tbl>
    <w:p w14:paraId="55AECC01" w14:textId="77777777" w:rsidR="005D62D8" w:rsidRPr="00A418F2" w:rsidRDefault="005D62D8" w:rsidP="005D62D8">
      <w:pPr>
        <w:spacing w:after="120"/>
        <w:ind w:left="720"/>
        <w:jc w:val="both"/>
        <w:rPr>
          <w:rFonts w:ascii="Arial Nova" w:eastAsia="Arial" w:hAnsi="Arial Nova"/>
          <w:color w:val="000000" w:themeColor="text1"/>
        </w:rPr>
      </w:pPr>
    </w:p>
    <w:p w14:paraId="2DD51ADB"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 xml:space="preserve">The base location for the consultancy assignment is: </w:t>
      </w:r>
      <w:r w:rsidRPr="00A418F2">
        <w:rPr>
          <w:rFonts w:ascii="Arial Nova" w:eastAsia="Arial" w:hAnsi="Arial Nova"/>
          <w:i/>
          <w:iCs/>
          <w:color w:val="000000" w:themeColor="text1"/>
        </w:rPr>
        <w:t xml:space="preserve">POWERGRID Academy of Leadership (PAL), </w:t>
      </w:r>
      <w:proofErr w:type="spellStart"/>
      <w:r w:rsidRPr="00A418F2">
        <w:rPr>
          <w:rFonts w:ascii="Arial Nova" w:eastAsia="Arial" w:hAnsi="Arial Nova"/>
          <w:i/>
          <w:iCs/>
          <w:color w:val="000000" w:themeColor="text1"/>
        </w:rPr>
        <w:t>Panchgaon</w:t>
      </w:r>
      <w:proofErr w:type="spellEnd"/>
      <w:r w:rsidRPr="00A418F2">
        <w:rPr>
          <w:rFonts w:ascii="Arial Nova" w:eastAsia="Arial" w:hAnsi="Arial Nova"/>
          <w:i/>
          <w:iCs/>
          <w:color w:val="000000" w:themeColor="text1"/>
        </w:rPr>
        <w:t>, Manesar, Gurugram, Haryana 122413.</w:t>
      </w:r>
      <w:r w:rsidRPr="00A418F2">
        <w:rPr>
          <w:rFonts w:ascii="Arial Nova" w:eastAsia="Arial" w:hAnsi="Arial Nova"/>
          <w:color w:val="000000" w:themeColor="text1"/>
        </w:rPr>
        <w:t xml:space="preserve"> </w:t>
      </w:r>
    </w:p>
    <w:p w14:paraId="63740AE3" w14:textId="77777777" w:rsidR="005D62D8" w:rsidRPr="00A418F2" w:rsidRDefault="005D62D8" w:rsidP="005D62D8">
      <w:pPr>
        <w:spacing w:after="120"/>
        <w:ind w:left="720"/>
        <w:jc w:val="both"/>
        <w:rPr>
          <w:rFonts w:ascii="Arial Nova" w:eastAsia="Arial" w:hAnsi="Arial Nova"/>
          <w:color w:val="000000" w:themeColor="text1"/>
        </w:rPr>
      </w:pPr>
    </w:p>
    <w:p w14:paraId="75D2A3AB"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 xml:space="preserve">Consultant needs to travel at least five (5) locations of POWERGRID annually, i.e., at least fifteen locations in 3 years for the project period. However, if consultant needs to travel beyond 15 locations, POWERGRID shall make payment for the same as per man-day rate of Subject Matter Experts (SME) available in this contract. </w:t>
      </w:r>
    </w:p>
    <w:p w14:paraId="2CDDC4F8"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Travelling charges (within India) for substation visits shall be paid additional and it shall be actual cost or maximum up to Economy Air Fare and/or 2 AC Train Ticket Fare and/or Taxi Fare.</w:t>
      </w:r>
    </w:p>
    <w:p w14:paraId="52DA1CA8" w14:textId="77777777" w:rsidR="005D62D8" w:rsidRPr="00A418F2" w:rsidRDefault="005D62D8" w:rsidP="006C593A">
      <w:pPr>
        <w:pStyle w:val="ListParagraph"/>
        <w:numPr>
          <w:ilvl w:val="1"/>
          <w:numId w:val="11"/>
        </w:numPr>
        <w:spacing w:after="120" w:line="240" w:lineRule="auto"/>
        <w:ind w:left="567" w:hanging="425"/>
        <w:jc w:val="both"/>
        <w:rPr>
          <w:rFonts w:ascii="Arial Nova" w:eastAsia="Arial" w:hAnsi="Arial Nova"/>
          <w:b/>
          <w:bCs/>
          <w:color w:val="000000" w:themeColor="text1"/>
        </w:rPr>
      </w:pPr>
      <w:r w:rsidRPr="00A418F2">
        <w:rPr>
          <w:rFonts w:ascii="Arial Nova" w:eastAsia="Arial" w:hAnsi="Arial Nova"/>
          <w:b/>
          <w:bCs/>
          <w:color w:val="000000" w:themeColor="text1"/>
        </w:rPr>
        <w:t>Engagement of additional Subject Matter Experts (SME)</w:t>
      </w:r>
    </w:p>
    <w:p w14:paraId="148A4C93" w14:textId="77777777" w:rsidR="005D62D8" w:rsidRPr="00A418F2" w:rsidRDefault="005D62D8" w:rsidP="005D62D8">
      <w:pPr>
        <w:spacing w:after="120"/>
        <w:ind w:left="567"/>
        <w:jc w:val="both"/>
        <w:rPr>
          <w:rFonts w:ascii="Arial Nova" w:eastAsia="Arial" w:hAnsi="Arial Nova"/>
          <w:color w:val="000000" w:themeColor="text1"/>
        </w:rPr>
      </w:pPr>
      <w:r w:rsidRPr="00A418F2">
        <w:rPr>
          <w:rFonts w:ascii="Arial Nova" w:eastAsia="Arial" w:hAnsi="Arial Nova"/>
          <w:color w:val="000000" w:themeColor="text1"/>
        </w:rPr>
        <w:t>POWERGRID recognizes the dynamic nature of cybersecurity regulations, frameworks, and compliance requirements. The SME will also provide expert guidance on emerging cybersecurity needs, industry best practices, and relevant updates to strengthen POWERGRID’s cybersecurity posture. To ensure continuous adherence to evolving security standards, POWERGRID also intends to engage Subject Matter Experts (SMEs) for up to 100 man-days on requirement basis.</w:t>
      </w:r>
    </w:p>
    <w:p w14:paraId="18A85A54" w14:textId="77777777" w:rsidR="005D62D8" w:rsidRPr="00A418F2" w:rsidRDefault="005D62D8" w:rsidP="005D62D8">
      <w:pPr>
        <w:spacing w:after="120"/>
        <w:ind w:left="567"/>
        <w:jc w:val="both"/>
        <w:rPr>
          <w:rFonts w:ascii="Arial Nova" w:eastAsia="Arial" w:hAnsi="Arial Nova"/>
          <w:color w:val="000000" w:themeColor="text1"/>
        </w:rPr>
      </w:pPr>
      <w:r w:rsidRPr="00A418F2">
        <w:rPr>
          <w:rFonts w:ascii="Arial Nova" w:eastAsia="Arial" w:hAnsi="Arial Nova"/>
          <w:color w:val="000000" w:themeColor="text1"/>
        </w:rPr>
        <w:lastRenderedPageBreak/>
        <w:t>This engagement will address unforeseen cybersecurity standards, frameworks, or other evolving compliance requirements that may emerge after the annual security assessment has been completed. In such cases, where immediate validation of compliance is required and POWERGRID cannot defer the assessment until the next annual cycle, the SMEs will be deployed to conduct a focused security gap assessment and provide necessary recommendations. This proactive approach will enable POWERGRID to maintain robust cybersecurity readiness and compliance with the latest regulatory and industry standards.</w:t>
      </w:r>
    </w:p>
    <w:p w14:paraId="01AAE782" w14:textId="77777777" w:rsidR="005D62D8" w:rsidRPr="00A418F2" w:rsidRDefault="005D62D8" w:rsidP="006C593A">
      <w:pPr>
        <w:pStyle w:val="ListParagraph"/>
        <w:numPr>
          <w:ilvl w:val="0"/>
          <w:numId w:val="11"/>
        </w:numPr>
        <w:spacing w:after="120" w:line="240" w:lineRule="auto"/>
        <w:ind w:left="720"/>
        <w:jc w:val="both"/>
        <w:rPr>
          <w:rFonts w:ascii="Arial Nova" w:eastAsia="Arial" w:hAnsi="Arial Nova"/>
          <w:b/>
          <w:bCs/>
          <w:color w:val="000000" w:themeColor="text1"/>
        </w:rPr>
      </w:pPr>
      <w:r w:rsidRPr="00A418F2">
        <w:rPr>
          <w:rFonts w:ascii="Arial Nova" w:eastAsia="Arial" w:hAnsi="Arial Nova"/>
          <w:b/>
          <w:bCs/>
          <w:color w:val="000000" w:themeColor="text1"/>
        </w:rPr>
        <w:t>Deliverable Requirements</w:t>
      </w:r>
    </w:p>
    <w:p w14:paraId="14801F53" w14:textId="77777777" w:rsidR="005D62D8" w:rsidRPr="00A418F2" w:rsidRDefault="005D62D8" w:rsidP="005D62D8">
      <w:pPr>
        <w:pStyle w:val="ListParagraph"/>
        <w:spacing w:after="120"/>
        <w:jc w:val="both"/>
        <w:rPr>
          <w:rFonts w:ascii="Arial Nova" w:hAnsi="Arial Nova"/>
          <w:color w:val="000000" w:themeColor="text1"/>
        </w:rPr>
      </w:pPr>
      <w:r w:rsidRPr="00A418F2">
        <w:rPr>
          <w:rFonts w:ascii="Arial Nova" w:eastAsia="Arial" w:hAnsi="Arial Nova"/>
          <w:color w:val="000000" w:themeColor="text1"/>
        </w:rPr>
        <w:t xml:space="preserve">The minimum required deliverables along with a consolidated report for the information security assessment cycle to be conducted annually by consultants include, but are not limited to, the following: </w:t>
      </w:r>
    </w:p>
    <w:tbl>
      <w:tblPr>
        <w:tblW w:w="963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844"/>
        <w:gridCol w:w="2126"/>
        <w:gridCol w:w="2552"/>
        <w:gridCol w:w="850"/>
        <w:gridCol w:w="851"/>
        <w:gridCol w:w="850"/>
      </w:tblGrid>
      <w:tr w:rsidR="002C4442" w:rsidRPr="00A418F2" w14:paraId="602D204F" w14:textId="77777777" w:rsidTr="002C4442">
        <w:trPr>
          <w:tblHeader/>
        </w:trPr>
        <w:tc>
          <w:tcPr>
            <w:tcW w:w="566" w:type="dxa"/>
            <w:shd w:val="clear" w:color="auto" w:fill="E7E6E6" w:themeFill="background2"/>
            <w:vAlign w:val="center"/>
            <w:hideMark/>
          </w:tcPr>
          <w:p w14:paraId="123E765E"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S. No.</w:t>
            </w:r>
          </w:p>
        </w:tc>
        <w:tc>
          <w:tcPr>
            <w:tcW w:w="1844" w:type="dxa"/>
            <w:shd w:val="clear" w:color="auto" w:fill="E7E6E6" w:themeFill="background2"/>
            <w:vAlign w:val="center"/>
            <w:hideMark/>
          </w:tcPr>
          <w:p w14:paraId="014FBC02"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Items</w:t>
            </w:r>
          </w:p>
        </w:tc>
        <w:tc>
          <w:tcPr>
            <w:tcW w:w="2126" w:type="dxa"/>
            <w:shd w:val="clear" w:color="auto" w:fill="E7E6E6" w:themeFill="background2"/>
            <w:vAlign w:val="center"/>
            <w:hideMark/>
          </w:tcPr>
          <w:p w14:paraId="6AEC539E"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Deliverable (as mentioned in outcomes)</w:t>
            </w:r>
          </w:p>
        </w:tc>
        <w:tc>
          <w:tcPr>
            <w:tcW w:w="2552" w:type="dxa"/>
            <w:shd w:val="clear" w:color="auto" w:fill="E7E6E6" w:themeFill="background2"/>
            <w:vAlign w:val="center"/>
            <w:hideMark/>
          </w:tcPr>
          <w:p w14:paraId="0750CBC4"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Description</w:t>
            </w:r>
          </w:p>
        </w:tc>
        <w:tc>
          <w:tcPr>
            <w:tcW w:w="850" w:type="dxa"/>
            <w:shd w:val="clear" w:color="auto" w:fill="E7E6E6" w:themeFill="background2"/>
            <w:vAlign w:val="center"/>
            <w:hideMark/>
          </w:tcPr>
          <w:p w14:paraId="41A5C47E" w14:textId="77777777" w:rsidR="005D62D8" w:rsidRPr="00A418F2" w:rsidRDefault="005D62D8" w:rsidP="00184B0A">
            <w:pPr>
              <w:ind w:left="-90"/>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Year 1</w:t>
            </w:r>
          </w:p>
        </w:tc>
        <w:tc>
          <w:tcPr>
            <w:tcW w:w="851" w:type="dxa"/>
            <w:shd w:val="clear" w:color="auto" w:fill="E7E6E6" w:themeFill="background2"/>
            <w:vAlign w:val="center"/>
            <w:hideMark/>
          </w:tcPr>
          <w:p w14:paraId="0F6FE8A6" w14:textId="77777777" w:rsidR="005D62D8" w:rsidRPr="00A418F2" w:rsidRDefault="005D62D8" w:rsidP="00184B0A">
            <w:pPr>
              <w:ind w:left="-90"/>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Year 2</w:t>
            </w:r>
          </w:p>
        </w:tc>
        <w:tc>
          <w:tcPr>
            <w:tcW w:w="850" w:type="dxa"/>
            <w:shd w:val="clear" w:color="auto" w:fill="E7E6E6" w:themeFill="background2"/>
            <w:vAlign w:val="center"/>
            <w:hideMark/>
          </w:tcPr>
          <w:p w14:paraId="533CD7BC" w14:textId="77777777" w:rsidR="005D62D8" w:rsidRPr="00A418F2" w:rsidRDefault="005D62D8" w:rsidP="00184B0A">
            <w:pPr>
              <w:ind w:left="-90"/>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Year 3</w:t>
            </w:r>
          </w:p>
        </w:tc>
      </w:tr>
      <w:tr w:rsidR="002C4442" w:rsidRPr="00A418F2" w14:paraId="3801BBF5" w14:textId="77777777" w:rsidTr="002C4442">
        <w:trPr>
          <w:trHeight w:val="576"/>
        </w:trPr>
        <w:tc>
          <w:tcPr>
            <w:tcW w:w="566" w:type="dxa"/>
            <w:vMerge w:val="restart"/>
            <w:shd w:val="clear" w:color="auto" w:fill="auto"/>
            <w:vAlign w:val="center"/>
            <w:hideMark/>
          </w:tcPr>
          <w:p w14:paraId="3E3D6ECF"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1</w:t>
            </w:r>
          </w:p>
        </w:tc>
        <w:tc>
          <w:tcPr>
            <w:tcW w:w="1844" w:type="dxa"/>
            <w:vMerge w:val="restart"/>
            <w:shd w:val="clear" w:color="auto" w:fill="auto"/>
            <w:vAlign w:val="center"/>
            <w:hideMark/>
          </w:tcPr>
          <w:p w14:paraId="55D0DB8E"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Policy, Procedure, Documentation and Process Review/ Assessment</w:t>
            </w:r>
          </w:p>
        </w:tc>
        <w:tc>
          <w:tcPr>
            <w:tcW w:w="2126" w:type="dxa"/>
            <w:shd w:val="clear" w:color="auto" w:fill="auto"/>
            <w:vAlign w:val="center"/>
            <w:hideMark/>
          </w:tcPr>
          <w:p w14:paraId="4883C70E"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Policy Current State Assessment Report</w:t>
            </w:r>
          </w:p>
        </w:tc>
        <w:tc>
          <w:tcPr>
            <w:tcW w:w="2552" w:type="dxa"/>
            <w:shd w:val="clear" w:color="auto" w:fill="auto"/>
            <w:vAlign w:val="center"/>
            <w:hideMark/>
          </w:tcPr>
          <w:p w14:paraId="02783038"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Detailed evaluation of existing policies, procedures, and controls</w:t>
            </w:r>
          </w:p>
        </w:tc>
        <w:tc>
          <w:tcPr>
            <w:tcW w:w="850" w:type="dxa"/>
            <w:shd w:val="clear" w:color="auto" w:fill="auto"/>
            <w:vAlign w:val="center"/>
            <w:hideMark/>
          </w:tcPr>
          <w:p w14:paraId="57DE766F"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0C7272F8"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1DB15B21"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420A6F0C" w14:textId="77777777" w:rsidTr="002C4442">
        <w:trPr>
          <w:trHeight w:val="864"/>
        </w:trPr>
        <w:tc>
          <w:tcPr>
            <w:tcW w:w="566" w:type="dxa"/>
            <w:vMerge/>
            <w:vAlign w:val="center"/>
            <w:hideMark/>
          </w:tcPr>
          <w:p w14:paraId="35947DF8" w14:textId="77777777" w:rsidR="005D62D8" w:rsidRPr="00A418F2" w:rsidRDefault="005D62D8" w:rsidP="00184B0A">
            <w:pPr>
              <w:rPr>
                <w:rFonts w:ascii="Arial Nova" w:hAnsi="Arial Nova"/>
                <w:color w:val="000000" w:themeColor="text1"/>
                <w:szCs w:val="22"/>
                <w:lang w:eastAsia="en-IN"/>
              </w:rPr>
            </w:pPr>
          </w:p>
        </w:tc>
        <w:tc>
          <w:tcPr>
            <w:tcW w:w="1844" w:type="dxa"/>
            <w:vMerge/>
            <w:vAlign w:val="center"/>
            <w:hideMark/>
          </w:tcPr>
          <w:p w14:paraId="1CB17660" w14:textId="77777777" w:rsidR="005D62D8" w:rsidRPr="00A418F2" w:rsidRDefault="005D62D8" w:rsidP="00184B0A">
            <w:pPr>
              <w:rPr>
                <w:rFonts w:ascii="Arial Nova" w:hAnsi="Arial Nova"/>
                <w:b/>
                <w:bCs/>
                <w:color w:val="000000" w:themeColor="text1"/>
                <w:szCs w:val="22"/>
                <w:lang w:eastAsia="en-IN"/>
              </w:rPr>
            </w:pPr>
          </w:p>
        </w:tc>
        <w:tc>
          <w:tcPr>
            <w:tcW w:w="2126" w:type="dxa"/>
            <w:shd w:val="clear" w:color="auto" w:fill="auto"/>
            <w:vAlign w:val="center"/>
            <w:hideMark/>
          </w:tcPr>
          <w:p w14:paraId="5F170E33"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Policy Gap Analysis Report</w:t>
            </w:r>
          </w:p>
        </w:tc>
        <w:tc>
          <w:tcPr>
            <w:tcW w:w="2552" w:type="dxa"/>
            <w:shd w:val="clear" w:color="auto" w:fill="auto"/>
            <w:vAlign w:val="center"/>
            <w:hideMark/>
          </w:tcPr>
          <w:p w14:paraId="1288A5C1"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Identification of gaps against NCRF, ISO/IEC 27001, ISO/IEC 27019, NIST CSF, IEC 62443, NERC CIP, MITRE D3FEND, and any other relevant cybersecurity standard/framework</w:t>
            </w:r>
          </w:p>
        </w:tc>
        <w:tc>
          <w:tcPr>
            <w:tcW w:w="850" w:type="dxa"/>
            <w:shd w:val="clear" w:color="auto" w:fill="auto"/>
            <w:vAlign w:val="center"/>
            <w:hideMark/>
          </w:tcPr>
          <w:p w14:paraId="1F4B8DD2"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308C6750"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1564407B"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2F107D70" w14:textId="77777777" w:rsidTr="002C4442">
        <w:trPr>
          <w:trHeight w:val="576"/>
        </w:trPr>
        <w:tc>
          <w:tcPr>
            <w:tcW w:w="566" w:type="dxa"/>
            <w:vMerge w:val="restart"/>
            <w:shd w:val="clear" w:color="auto" w:fill="auto"/>
            <w:vAlign w:val="center"/>
            <w:hideMark/>
          </w:tcPr>
          <w:p w14:paraId="2552FA53"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2</w:t>
            </w:r>
          </w:p>
        </w:tc>
        <w:tc>
          <w:tcPr>
            <w:tcW w:w="1844" w:type="dxa"/>
            <w:vMerge w:val="restart"/>
            <w:shd w:val="clear" w:color="auto" w:fill="auto"/>
            <w:vAlign w:val="center"/>
            <w:hideMark/>
          </w:tcPr>
          <w:p w14:paraId="7B5A0942"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Infrastructure Architecture Security Review and Defence-In-Depth Analysis</w:t>
            </w:r>
          </w:p>
        </w:tc>
        <w:tc>
          <w:tcPr>
            <w:tcW w:w="2126" w:type="dxa"/>
            <w:shd w:val="clear" w:color="auto" w:fill="auto"/>
            <w:vAlign w:val="center"/>
            <w:hideMark/>
          </w:tcPr>
          <w:p w14:paraId="48221147"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 xml:space="preserve">Report on Network </w:t>
            </w:r>
            <w:proofErr w:type="gramStart"/>
            <w:r w:rsidRPr="00A418F2">
              <w:rPr>
                <w:rFonts w:ascii="Arial Nova" w:hAnsi="Arial Nova"/>
                <w:b/>
                <w:bCs/>
                <w:color w:val="000000" w:themeColor="text1"/>
                <w:szCs w:val="22"/>
                <w:lang w:eastAsia="en-IN"/>
              </w:rPr>
              <w:t>Architecture  Review</w:t>
            </w:r>
            <w:proofErr w:type="gramEnd"/>
          </w:p>
        </w:tc>
        <w:tc>
          <w:tcPr>
            <w:tcW w:w="2552" w:type="dxa"/>
            <w:shd w:val="clear" w:color="auto" w:fill="auto"/>
            <w:vAlign w:val="center"/>
            <w:hideMark/>
          </w:tcPr>
          <w:p w14:paraId="5DFDA4A3"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Review of segmentation, routing, and Zero Trust alignment</w:t>
            </w:r>
          </w:p>
        </w:tc>
        <w:tc>
          <w:tcPr>
            <w:tcW w:w="850" w:type="dxa"/>
            <w:shd w:val="clear" w:color="auto" w:fill="auto"/>
            <w:vAlign w:val="center"/>
            <w:hideMark/>
          </w:tcPr>
          <w:p w14:paraId="66A1E4DE"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6BD608D0"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0D1D108C"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238E02F0" w14:textId="77777777" w:rsidTr="002C4442">
        <w:trPr>
          <w:trHeight w:val="576"/>
        </w:trPr>
        <w:tc>
          <w:tcPr>
            <w:tcW w:w="566" w:type="dxa"/>
            <w:vMerge/>
            <w:vAlign w:val="center"/>
            <w:hideMark/>
          </w:tcPr>
          <w:p w14:paraId="26A8FC78" w14:textId="77777777" w:rsidR="005D62D8" w:rsidRPr="00A418F2" w:rsidRDefault="005D62D8" w:rsidP="00184B0A">
            <w:pPr>
              <w:rPr>
                <w:rFonts w:ascii="Arial Nova" w:hAnsi="Arial Nova"/>
                <w:color w:val="000000" w:themeColor="text1"/>
                <w:szCs w:val="22"/>
                <w:lang w:eastAsia="en-IN"/>
              </w:rPr>
            </w:pPr>
          </w:p>
        </w:tc>
        <w:tc>
          <w:tcPr>
            <w:tcW w:w="1844" w:type="dxa"/>
            <w:vMerge/>
            <w:vAlign w:val="center"/>
            <w:hideMark/>
          </w:tcPr>
          <w:p w14:paraId="3BEA45B6" w14:textId="77777777" w:rsidR="005D62D8" w:rsidRPr="00A418F2" w:rsidRDefault="005D62D8" w:rsidP="00184B0A">
            <w:pPr>
              <w:rPr>
                <w:rFonts w:ascii="Arial Nova" w:hAnsi="Arial Nova"/>
                <w:b/>
                <w:bCs/>
                <w:color w:val="000000" w:themeColor="text1"/>
                <w:szCs w:val="22"/>
                <w:lang w:eastAsia="en-IN"/>
              </w:rPr>
            </w:pPr>
          </w:p>
        </w:tc>
        <w:tc>
          <w:tcPr>
            <w:tcW w:w="2126" w:type="dxa"/>
            <w:shd w:val="clear" w:color="auto" w:fill="auto"/>
            <w:vAlign w:val="center"/>
            <w:hideMark/>
          </w:tcPr>
          <w:p w14:paraId="258120D9"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System Configuration Assessment Report</w:t>
            </w:r>
          </w:p>
        </w:tc>
        <w:tc>
          <w:tcPr>
            <w:tcW w:w="2552" w:type="dxa"/>
            <w:shd w:val="clear" w:color="auto" w:fill="auto"/>
            <w:vAlign w:val="center"/>
            <w:hideMark/>
          </w:tcPr>
          <w:p w14:paraId="65D5F47B"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Assessment of hardening, patching, and security settings</w:t>
            </w:r>
          </w:p>
        </w:tc>
        <w:tc>
          <w:tcPr>
            <w:tcW w:w="850" w:type="dxa"/>
            <w:shd w:val="clear" w:color="auto" w:fill="auto"/>
            <w:vAlign w:val="center"/>
            <w:hideMark/>
          </w:tcPr>
          <w:p w14:paraId="5C10EFBE"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10CA3CCB"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398AF962"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4FA2D124" w14:textId="77777777" w:rsidTr="002C4442">
        <w:trPr>
          <w:trHeight w:val="576"/>
        </w:trPr>
        <w:tc>
          <w:tcPr>
            <w:tcW w:w="566" w:type="dxa"/>
            <w:vMerge/>
            <w:vAlign w:val="center"/>
            <w:hideMark/>
          </w:tcPr>
          <w:p w14:paraId="1A137EF7" w14:textId="77777777" w:rsidR="005D62D8" w:rsidRPr="00A418F2" w:rsidRDefault="005D62D8" w:rsidP="00184B0A">
            <w:pPr>
              <w:rPr>
                <w:rFonts w:ascii="Arial Nova" w:hAnsi="Arial Nova"/>
                <w:color w:val="000000" w:themeColor="text1"/>
                <w:szCs w:val="22"/>
                <w:lang w:eastAsia="en-IN"/>
              </w:rPr>
            </w:pPr>
          </w:p>
        </w:tc>
        <w:tc>
          <w:tcPr>
            <w:tcW w:w="1844" w:type="dxa"/>
            <w:vMerge/>
            <w:vAlign w:val="center"/>
            <w:hideMark/>
          </w:tcPr>
          <w:p w14:paraId="78FA9208" w14:textId="77777777" w:rsidR="005D62D8" w:rsidRPr="00A418F2" w:rsidRDefault="005D62D8" w:rsidP="00184B0A">
            <w:pPr>
              <w:rPr>
                <w:rFonts w:ascii="Arial Nova" w:hAnsi="Arial Nova"/>
                <w:b/>
                <w:bCs/>
                <w:color w:val="000000" w:themeColor="text1"/>
                <w:szCs w:val="22"/>
                <w:lang w:eastAsia="en-IN"/>
              </w:rPr>
            </w:pPr>
          </w:p>
        </w:tc>
        <w:tc>
          <w:tcPr>
            <w:tcW w:w="2126" w:type="dxa"/>
            <w:shd w:val="clear" w:color="auto" w:fill="auto"/>
            <w:vAlign w:val="center"/>
            <w:hideMark/>
          </w:tcPr>
          <w:p w14:paraId="3FC147F9"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Defence-in-Depth Analysis Report</w:t>
            </w:r>
          </w:p>
        </w:tc>
        <w:tc>
          <w:tcPr>
            <w:tcW w:w="2552" w:type="dxa"/>
            <w:shd w:val="clear" w:color="auto" w:fill="auto"/>
            <w:vAlign w:val="center"/>
            <w:hideMark/>
          </w:tcPr>
          <w:p w14:paraId="74F2FA17"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Comprehensive evaluation of multi-layered security controls</w:t>
            </w:r>
          </w:p>
        </w:tc>
        <w:tc>
          <w:tcPr>
            <w:tcW w:w="850" w:type="dxa"/>
            <w:shd w:val="clear" w:color="auto" w:fill="auto"/>
            <w:vAlign w:val="center"/>
            <w:hideMark/>
          </w:tcPr>
          <w:p w14:paraId="28712E02"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18FEBAB3"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7F4D32CD"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525C3111" w14:textId="77777777" w:rsidTr="002C4442">
        <w:trPr>
          <w:trHeight w:val="576"/>
        </w:trPr>
        <w:tc>
          <w:tcPr>
            <w:tcW w:w="566" w:type="dxa"/>
            <w:vMerge/>
            <w:vAlign w:val="center"/>
            <w:hideMark/>
          </w:tcPr>
          <w:p w14:paraId="343E36DC" w14:textId="77777777" w:rsidR="005D62D8" w:rsidRPr="00A418F2" w:rsidRDefault="005D62D8" w:rsidP="00184B0A">
            <w:pPr>
              <w:rPr>
                <w:rFonts w:ascii="Arial Nova" w:hAnsi="Arial Nova"/>
                <w:color w:val="000000" w:themeColor="text1"/>
                <w:szCs w:val="22"/>
                <w:lang w:eastAsia="en-IN"/>
              </w:rPr>
            </w:pPr>
          </w:p>
        </w:tc>
        <w:tc>
          <w:tcPr>
            <w:tcW w:w="1844" w:type="dxa"/>
            <w:vMerge/>
            <w:vAlign w:val="center"/>
            <w:hideMark/>
          </w:tcPr>
          <w:p w14:paraId="51CB5529" w14:textId="77777777" w:rsidR="005D62D8" w:rsidRPr="00A418F2" w:rsidRDefault="005D62D8" w:rsidP="00184B0A">
            <w:pPr>
              <w:rPr>
                <w:rFonts w:ascii="Arial Nova" w:hAnsi="Arial Nova"/>
                <w:b/>
                <w:bCs/>
                <w:color w:val="000000" w:themeColor="text1"/>
                <w:szCs w:val="22"/>
                <w:lang w:eastAsia="en-IN"/>
              </w:rPr>
            </w:pPr>
          </w:p>
        </w:tc>
        <w:tc>
          <w:tcPr>
            <w:tcW w:w="2126" w:type="dxa"/>
            <w:shd w:val="clear" w:color="auto" w:fill="auto"/>
            <w:vAlign w:val="center"/>
            <w:hideMark/>
          </w:tcPr>
          <w:p w14:paraId="008EEB6D"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Architecture Remediation Plan</w:t>
            </w:r>
          </w:p>
        </w:tc>
        <w:tc>
          <w:tcPr>
            <w:tcW w:w="2552" w:type="dxa"/>
            <w:shd w:val="clear" w:color="auto" w:fill="auto"/>
            <w:vAlign w:val="center"/>
            <w:hideMark/>
          </w:tcPr>
          <w:p w14:paraId="05EA6CCC"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Recommendations for architecture security enhancement</w:t>
            </w:r>
          </w:p>
        </w:tc>
        <w:tc>
          <w:tcPr>
            <w:tcW w:w="850" w:type="dxa"/>
            <w:shd w:val="clear" w:color="auto" w:fill="auto"/>
            <w:vAlign w:val="center"/>
            <w:hideMark/>
          </w:tcPr>
          <w:p w14:paraId="0D5C8A6E"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32376567"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1239E6E9"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193A71A4" w14:textId="77777777" w:rsidTr="002C4442">
        <w:trPr>
          <w:trHeight w:val="576"/>
        </w:trPr>
        <w:tc>
          <w:tcPr>
            <w:tcW w:w="566" w:type="dxa"/>
            <w:vMerge w:val="restart"/>
            <w:shd w:val="clear" w:color="auto" w:fill="auto"/>
            <w:vAlign w:val="center"/>
            <w:hideMark/>
          </w:tcPr>
          <w:p w14:paraId="35D32A66"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lastRenderedPageBreak/>
              <w:t>3</w:t>
            </w:r>
          </w:p>
        </w:tc>
        <w:tc>
          <w:tcPr>
            <w:tcW w:w="1844" w:type="dxa"/>
            <w:vMerge w:val="restart"/>
            <w:shd w:val="clear" w:color="auto" w:fill="auto"/>
            <w:vAlign w:val="center"/>
            <w:hideMark/>
          </w:tcPr>
          <w:p w14:paraId="010E6100"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 xml:space="preserve">Security Operations Centre assessment and enhancement </w:t>
            </w:r>
          </w:p>
        </w:tc>
        <w:tc>
          <w:tcPr>
            <w:tcW w:w="2126" w:type="dxa"/>
            <w:shd w:val="clear" w:color="auto" w:fill="auto"/>
            <w:vAlign w:val="center"/>
            <w:hideMark/>
          </w:tcPr>
          <w:p w14:paraId="1FABFD97"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SOC Current State Assessment Report</w:t>
            </w:r>
          </w:p>
        </w:tc>
        <w:tc>
          <w:tcPr>
            <w:tcW w:w="2552" w:type="dxa"/>
            <w:shd w:val="clear" w:color="auto" w:fill="auto"/>
            <w:vAlign w:val="center"/>
            <w:hideMark/>
          </w:tcPr>
          <w:p w14:paraId="242C535D"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Evaluation of existing SOC processes, tools, and team capabilities</w:t>
            </w:r>
          </w:p>
        </w:tc>
        <w:tc>
          <w:tcPr>
            <w:tcW w:w="850" w:type="dxa"/>
            <w:shd w:val="clear" w:color="auto" w:fill="auto"/>
            <w:vAlign w:val="center"/>
            <w:hideMark/>
          </w:tcPr>
          <w:p w14:paraId="5386DD08"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77DA4D9D"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0CE07022"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22541D0C" w14:textId="77777777" w:rsidTr="002C4442">
        <w:trPr>
          <w:trHeight w:val="288"/>
        </w:trPr>
        <w:tc>
          <w:tcPr>
            <w:tcW w:w="566" w:type="dxa"/>
            <w:vMerge/>
            <w:vAlign w:val="center"/>
            <w:hideMark/>
          </w:tcPr>
          <w:p w14:paraId="72265746" w14:textId="77777777" w:rsidR="005D62D8" w:rsidRPr="00A418F2" w:rsidRDefault="005D62D8" w:rsidP="00184B0A">
            <w:pPr>
              <w:rPr>
                <w:rFonts w:ascii="Arial Nova" w:hAnsi="Arial Nova"/>
                <w:color w:val="000000" w:themeColor="text1"/>
                <w:szCs w:val="22"/>
                <w:lang w:eastAsia="en-IN"/>
              </w:rPr>
            </w:pPr>
          </w:p>
        </w:tc>
        <w:tc>
          <w:tcPr>
            <w:tcW w:w="1844" w:type="dxa"/>
            <w:vMerge/>
            <w:vAlign w:val="center"/>
            <w:hideMark/>
          </w:tcPr>
          <w:p w14:paraId="43EF0932" w14:textId="77777777" w:rsidR="005D62D8" w:rsidRPr="00A418F2" w:rsidRDefault="005D62D8" w:rsidP="00184B0A">
            <w:pPr>
              <w:rPr>
                <w:rFonts w:ascii="Arial Nova" w:hAnsi="Arial Nova"/>
                <w:b/>
                <w:bCs/>
                <w:color w:val="000000" w:themeColor="text1"/>
                <w:szCs w:val="22"/>
                <w:lang w:eastAsia="en-IN"/>
              </w:rPr>
            </w:pPr>
          </w:p>
        </w:tc>
        <w:tc>
          <w:tcPr>
            <w:tcW w:w="2126" w:type="dxa"/>
            <w:shd w:val="clear" w:color="auto" w:fill="auto"/>
            <w:vAlign w:val="center"/>
            <w:hideMark/>
          </w:tcPr>
          <w:p w14:paraId="4440AB3D"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SOC Gap Analysis Report</w:t>
            </w:r>
          </w:p>
        </w:tc>
        <w:tc>
          <w:tcPr>
            <w:tcW w:w="2552" w:type="dxa"/>
            <w:shd w:val="clear" w:color="auto" w:fill="auto"/>
            <w:vAlign w:val="center"/>
            <w:hideMark/>
          </w:tcPr>
          <w:p w14:paraId="7FF62876"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Identification of gaps in monitoring, detection, and response</w:t>
            </w:r>
          </w:p>
        </w:tc>
        <w:tc>
          <w:tcPr>
            <w:tcW w:w="850" w:type="dxa"/>
            <w:shd w:val="clear" w:color="auto" w:fill="auto"/>
            <w:vAlign w:val="center"/>
            <w:hideMark/>
          </w:tcPr>
          <w:p w14:paraId="217B26E3"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0C8F9B39"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7C429B7E"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55C3686D" w14:textId="77777777" w:rsidTr="002C4442">
        <w:trPr>
          <w:trHeight w:val="576"/>
        </w:trPr>
        <w:tc>
          <w:tcPr>
            <w:tcW w:w="566" w:type="dxa"/>
            <w:vMerge/>
            <w:vAlign w:val="center"/>
            <w:hideMark/>
          </w:tcPr>
          <w:p w14:paraId="0FEB1AF9" w14:textId="77777777" w:rsidR="005D62D8" w:rsidRPr="00A418F2" w:rsidRDefault="005D62D8" w:rsidP="00184B0A">
            <w:pPr>
              <w:rPr>
                <w:rFonts w:ascii="Arial Nova" w:hAnsi="Arial Nova"/>
                <w:color w:val="000000" w:themeColor="text1"/>
                <w:szCs w:val="22"/>
                <w:lang w:eastAsia="en-IN"/>
              </w:rPr>
            </w:pPr>
          </w:p>
        </w:tc>
        <w:tc>
          <w:tcPr>
            <w:tcW w:w="1844" w:type="dxa"/>
            <w:vMerge/>
            <w:vAlign w:val="center"/>
            <w:hideMark/>
          </w:tcPr>
          <w:p w14:paraId="49766C1E" w14:textId="77777777" w:rsidR="005D62D8" w:rsidRPr="00A418F2" w:rsidRDefault="005D62D8" w:rsidP="00184B0A">
            <w:pPr>
              <w:rPr>
                <w:rFonts w:ascii="Arial Nova" w:hAnsi="Arial Nova"/>
                <w:b/>
                <w:bCs/>
                <w:color w:val="000000" w:themeColor="text1"/>
                <w:szCs w:val="22"/>
                <w:lang w:eastAsia="en-IN"/>
              </w:rPr>
            </w:pPr>
          </w:p>
        </w:tc>
        <w:tc>
          <w:tcPr>
            <w:tcW w:w="2126" w:type="dxa"/>
            <w:shd w:val="clear" w:color="auto" w:fill="auto"/>
            <w:vAlign w:val="center"/>
            <w:hideMark/>
          </w:tcPr>
          <w:p w14:paraId="5F1E9470"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SOC Maturity Assessment Report</w:t>
            </w:r>
          </w:p>
        </w:tc>
        <w:tc>
          <w:tcPr>
            <w:tcW w:w="2552" w:type="dxa"/>
            <w:shd w:val="clear" w:color="auto" w:fill="auto"/>
            <w:vAlign w:val="center"/>
            <w:hideMark/>
          </w:tcPr>
          <w:p w14:paraId="333168DA"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Assessment based on the NIST Capability Maturity Model</w:t>
            </w:r>
          </w:p>
        </w:tc>
        <w:tc>
          <w:tcPr>
            <w:tcW w:w="850" w:type="dxa"/>
            <w:shd w:val="clear" w:color="auto" w:fill="auto"/>
            <w:vAlign w:val="center"/>
            <w:hideMark/>
          </w:tcPr>
          <w:p w14:paraId="099036B6"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7C8F8A7A"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29C06A86"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36F3ADC6" w14:textId="77777777" w:rsidTr="002C4442">
        <w:trPr>
          <w:trHeight w:val="576"/>
        </w:trPr>
        <w:tc>
          <w:tcPr>
            <w:tcW w:w="566" w:type="dxa"/>
            <w:vMerge/>
            <w:vAlign w:val="center"/>
            <w:hideMark/>
          </w:tcPr>
          <w:p w14:paraId="4489FDF5" w14:textId="77777777" w:rsidR="005D62D8" w:rsidRPr="00A418F2" w:rsidRDefault="005D62D8" w:rsidP="00184B0A">
            <w:pPr>
              <w:rPr>
                <w:rFonts w:ascii="Arial Nova" w:hAnsi="Arial Nova"/>
                <w:color w:val="000000" w:themeColor="text1"/>
                <w:szCs w:val="22"/>
                <w:lang w:eastAsia="en-IN"/>
              </w:rPr>
            </w:pPr>
          </w:p>
        </w:tc>
        <w:tc>
          <w:tcPr>
            <w:tcW w:w="1844" w:type="dxa"/>
            <w:vMerge/>
            <w:vAlign w:val="center"/>
            <w:hideMark/>
          </w:tcPr>
          <w:p w14:paraId="7CE06A1B" w14:textId="77777777" w:rsidR="005D62D8" w:rsidRPr="00A418F2" w:rsidRDefault="005D62D8" w:rsidP="00184B0A">
            <w:pPr>
              <w:rPr>
                <w:rFonts w:ascii="Arial Nova" w:hAnsi="Arial Nova"/>
                <w:b/>
                <w:bCs/>
                <w:color w:val="000000" w:themeColor="text1"/>
                <w:szCs w:val="22"/>
                <w:lang w:eastAsia="en-IN"/>
              </w:rPr>
            </w:pPr>
          </w:p>
        </w:tc>
        <w:tc>
          <w:tcPr>
            <w:tcW w:w="2126" w:type="dxa"/>
            <w:shd w:val="clear" w:color="auto" w:fill="auto"/>
            <w:vAlign w:val="center"/>
            <w:hideMark/>
          </w:tcPr>
          <w:p w14:paraId="4853804D"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Threat Intelligence and Automation Review Report</w:t>
            </w:r>
          </w:p>
        </w:tc>
        <w:tc>
          <w:tcPr>
            <w:tcW w:w="2552" w:type="dxa"/>
            <w:shd w:val="clear" w:color="auto" w:fill="auto"/>
            <w:vAlign w:val="center"/>
            <w:hideMark/>
          </w:tcPr>
          <w:p w14:paraId="466DD26E"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Evaluation of threat intelligence integration and automation effectiveness</w:t>
            </w:r>
          </w:p>
        </w:tc>
        <w:tc>
          <w:tcPr>
            <w:tcW w:w="850" w:type="dxa"/>
            <w:shd w:val="clear" w:color="auto" w:fill="auto"/>
            <w:vAlign w:val="center"/>
            <w:hideMark/>
          </w:tcPr>
          <w:p w14:paraId="7E2E923C"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5BAD048D"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17947FB3"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0DD56108" w14:textId="77777777" w:rsidTr="002C4442">
        <w:trPr>
          <w:trHeight w:val="576"/>
        </w:trPr>
        <w:tc>
          <w:tcPr>
            <w:tcW w:w="566" w:type="dxa"/>
            <w:vMerge/>
            <w:vAlign w:val="center"/>
            <w:hideMark/>
          </w:tcPr>
          <w:p w14:paraId="3D5E642A" w14:textId="77777777" w:rsidR="005D62D8" w:rsidRPr="00A418F2" w:rsidRDefault="005D62D8" w:rsidP="00184B0A">
            <w:pPr>
              <w:rPr>
                <w:rFonts w:ascii="Arial Nova" w:hAnsi="Arial Nova"/>
                <w:color w:val="000000" w:themeColor="text1"/>
                <w:szCs w:val="22"/>
                <w:lang w:eastAsia="en-IN"/>
              </w:rPr>
            </w:pPr>
          </w:p>
        </w:tc>
        <w:tc>
          <w:tcPr>
            <w:tcW w:w="1844" w:type="dxa"/>
            <w:vMerge/>
            <w:vAlign w:val="center"/>
            <w:hideMark/>
          </w:tcPr>
          <w:p w14:paraId="693573ED" w14:textId="77777777" w:rsidR="005D62D8" w:rsidRPr="00A418F2" w:rsidRDefault="005D62D8" w:rsidP="00184B0A">
            <w:pPr>
              <w:rPr>
                <w:rFonts w:ascii="Arial Nova" w:hAnsi="Arial Nova"/>
                <w:b/>
                <w:bCs/>
                <w:color w:val="000000" w:themeColor="text1"/>
                <w:szCs w:val="22"/>
                <w:lang w:eastAsia="en-IN"/>
              </w:rPr>
            </w:pPr>
          </w:p>
        </w:tc>
        <w:tc>
          <w:tcPr>
            <w:tcW w:w="2126" w:type="dxa"/>
            <w:shd w:val="clear" w:color="auto" w:fill="auto"/>
            <w:vAlign w:val="center"/>
            <w:hideMark/>
          </w:tcPr>
          <w:p w14:paraId="42AD2EAD"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SOC Performance Metrics Report</w:t>
            </w:r>
          </w:p>
        </w:tc>
        <w:tc>
          <w:tcPr>
            <w:tcW w:w="2552" w:type="dxa"/>
            <w:shd w:val="clear" w:color="auto" w:fill="auto"/>
            <w:vAlign w:val="center"/>
            <w:hideMark/>
          </w:tcPr>
          <w:p w14:paraId="08E48C0D"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KPI/KRI definition for SOC efficiency monitoring</w:t>
            </w:r>
          </w:p>
        </w:tc>
        <w:tc>
          <w:tcPr>
            <w:tcW w:w="850" w:type="dxa"/>
            <w:shd w:val="clear" w:color="auto" w:fill="auto"/>
            <w:vAlign w:val="center"/>
            <w:hideMark/>
          </w:tcPr>
          <w:p w14:paraId="42DD8319"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46FB2EA6"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2D39649B"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6427574A" w14:textId="77777777" w:rsidTr="002C4442">
        <w:trPr>
          <w:trHeight w:val="576"/>
        </w:trPr>
        <w:tc>
          <w:tcPr>
            <w:tcW w:w="566" w:type="dxa"/>
            <w:vMerge/>
            <w:vAlign w:val="center"/>
            <w:hideMark/>
          </w:tcPr>
          <w:p w14:paraId="4DF837C3" w14:textId="77777777" w:rsidR="005D62D8" w:rsidRPr="00A418F2" w:rsidRDefault="005D62D8" w:rsidP="00184B0A">
            <w:pPr>
              <w:rPr>
                <w:rFonts w:ascii="Arial Nova" w:hAnsi="Arial Nova"/>
                <w:color w:val="000000" w:themeColor="text1"/>
                <w:szCs w:val="22"/>
                <w:lang w:eastAsia="en-IN"/>
              </w:rPr>
            </w:pPr>
          </w:p>
        </w:tc>
        <w:tc>
          <w:tcPr>
            <w:tcW w:w="1844" w:type="dxa"/>
            <w:vMerge/>
            <w:vAlign w:val="center"/>
            <w:hideMark/>
          </w:tcPr>
          <w:p w14:paraId="46801519" w14:textId="77777777" w:rsidR="005D62D8" w:rsidRPr="00A418F2" w:rsidRDefault="005D62D8" w:rsidP="00184B0A">
            <w:pPr>
              <w:rPr>
                <w:rFonts w:ascii="Arial Nova" w:hAnsi="Arial Nova"/>
                <w:b/>
                <w:bCs/>
                <w:color w:val="000000" w:themeColor="text1"/>
                <w:szCs w:val="22"/>
                <w:lang w:eastAsia="en-IN"/>
              </w:rPr>
            </w:pPr>
          </w:p>
        </w:tc>
        <w:tc>
          <w:tcPr>
            <w:tcW w:w="2126" w:type="dxa"/>
            <w:shd w:val="clear" w:color="auto" w:fill="auto"/>
            <w:vAlign w:val="center"/>
            <w:hideMark/>
          </w:tcPr>
          <w:p w14:paraId="3AB63115"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SOC Enhancement Roadmap</w:t>
            </w:r>
          </w:p>
        </w:tc>
        <w:tc>
          <w:tcPr>
            <w:tcW w:w="2552" w:type="dxa"/>
            <w:shd w:val="clear" w:color="auto" w:fill="auto"/>
            <w:vAlign w:val="center"/>
            <w:hideMark/>
          </w:tcPr>
          <w:p w14:paraId="7A85B3AA"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Recommendations for process, technology, and skill improvement</w:t>
            </w:r>
          </w:p>
        </w:tc>
        <w:tc>
          <w:tcPr>
            <w:tcW w:w="850" w:type="dxa"/>
            <w:shd w:val="clear" w:color="auto" w:fill="auto"/>
            <w:vAlign w:val="center"/>
            <w:hideMark/>
          </w:tcPr>
          <w:p w14:paraId="764A7412"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2153C55C"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25C726C7"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0CFFDBD3" w14:textId="77777777" w:rsidTr="002C4442">
        <w:trPr>
          <w:trHeight w:val="288"/>
        </w:trPr>
        <w:tc>
          <w:tcPr>
            <w:tcW w:w="566" w:type="dxa"/>
            <w:vMerge w:val="restart"/>
            <w:shd w:val="clear" w:color="auto" w:fill="auto"/>
            <w:vAlign w:val="center"/>
            <w:hideMark/>
          </w:tcPr>
          <w:p w14:paraId="544C9829"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4</w:t>
            </w:r>
          </w:p>
        </w:tc>
        <w:tc>
          <w:tcPr>
            <w:tcW w:w="1844" w:type="dxa"/>
            <w:vMerge w:val="restart"/>
            <w:shd w:val="clear" w:color="auto" w:fill="auto"/>
            <w:vAlign w:val="center"/>
            <w:hideMark/>
          </w:tcPr>
          <w:p w14:paraId="1976346A"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Security Metrics Program, KPI/KRI identification, recommendation/guidance for implementation dashboard visualization</w:t>
            </w:r>
          </w:p>
        </w:tc>
        <w:tc>
          <w:tcPr>
            <w:tcW w:w="2126" w:type="dxa"/>
            <w:shd w:val="clear" w:color="auto" w:fill="auto"/>
            <w:vAlign w:val="center"/>
            <w:hideMark/>
          </w:tcPr>
          <w:p w14:paraId="66C57FFA"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KPI/KRI Framework</w:t>
            </w:r>
          </w:p>
        </w:tc>
        <w:tc>
          <w:tcPr>
            <w:tcW w:w="2552" w:type="dxa"/>
            <w:shd w:val="clear" w:color="auto" w:fill="auto"/>
            <w:vAlign w:val="center"/>
            <w:hideMark/>
          </w:tcPr>
          <w:p w14:paraId="41CB7FDF"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Identification of security KPIs and KRIs aligned with standards</w:t>
            </w:r>
          </w:p>
        </w:tc>
        <w:tc>
          <w:tcPr>
            <w:tcW w:w="850" w:type="dxa"/>
            <w:shd w:val="clear" w:color="auto" w:fill="auto"/>
            <w:vAlign w:val="center"/>
            <w:hideMark/>
          </w:tcPr>
          <w:p w14:paraId="36F576FD"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01E28DBF"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6B6496F3"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786F1A42" w14:textId="77777777" w:rsidTr="002C4442">
        <w:trPr>
          <w:trHeight w:val="576"/>
        </w:trPr>
        <w:tc>
          <w:tcPr>
            <w:tcW w:w="566" w:type="dxa"/>
            <w:vMerge/>
            <w:vAlign w:val="center"/>
            <w:hideMark/>
          </w:tcPr>
          <w:p w14:paraId="4EA0D54A" w14:textId="77777777" w:rsidR="005D62D8" w:rsidRPr="00A418F2" w:rsidRDefault="005D62D8" w:rsidP="00184B0A">
            <w:pPr>
              <w:rPr>
                <w:rFonts w:ascii="Arial Nova" w:hAnsi="Arial Nova"/>
                <w:color w:val="000000" w:themeColor="text1"/>
                <w:szCs w:val="22"/>
                <w:lang w:eastAsia="en-IN"/>
              </w:rPr>
            </w:pPr>
          </w:p>
        </w:tc>
        <w:tc>
          <w:tcPr>
            <w:tcW w:w="1844" w:type="dxa"/>
            <w:vMerge/>
            <w:vAlign w:val="center"/>
            <w:hideMark/>
          </w:tcPr>
          <w:p w14:paraId="0B235519" w14:textId="77777777" w:rsidR="005D62D8" w:rsidRPr="00A418F2" w:rsidRDefault="005D62D8" w:rsidP="00184B0A">
            <w:pPr>
              <w:rPr>
                <w:rFonts w:ascii="Arial Nova" w:hAnsi="Arial Nova"/>
                <w:b/>
                <w:bCs/>
                <w:color w:val="000000" w:themeColor="text1"/>
                <w:szCs w:val="22"/>
                <w:lang w:eastAsia="en-IN"/>
              </w:rPr>
            </w:pPr>
          </w:p>
        </w:tc>
        <w:tc>
          <w:tcPr>
            <w:tcW w:w="2126" w:type="dxa"/>
            <w:shd w:val="clear" w:color="auto" w:fill="auto"/>
            <w:vAlign w:val="center"/>
            <w:hideMark/>
          </w:tcPr>
          <w:p w14:paraId="6584520F"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Metrics Definition Report</w:t>
            </w:r>
          </w:p>
        </w:tc>
        <w:tc>
          <w:tcPr>
            <w:tcW w:w="2552" w:type="dxa"/>
            <w:shd w:val="clear" w:color="auto" w:fill="auto"/>
            <w:vAlign w:val="center"/>
            <w:hideMark/>
          </w:tcPr>
          <w:p w14:paraId="204CE936"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Threshold values, risk levels, and performance targets for each metric</w:t>
            </w:r>
          </w:p>
        </w:tc>
        <w:tc>
          <w:tcPr>
            <w:tcW w:w="850" w:type="dxa"/>
            <w:shd w:val="clear" w:color="auto" w:fill="auto"/>
            <w:vAlign w:val="center"/>
            <w:hideMark/>
          </w:tcPr>
          <w:p w14:paraId="419B7557"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03F15157"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5BCA3C10"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2D9CCB2F" w14:textId="77777777" w:rsidTr="002C4442">
        <w:trPr>
          <w:trHeight w:val="576"/>
        </w:trPr>
        <w:tc>
          <w:tcPr>
            <w:tcW w:w="566" w:type="dxa"/>
            <w:vMerge/>
            <w:vAlign w:val="center"/>
            <w:hideMark/>
          </w:tcPr>
          <w:p w14:paraId="594F5E1F" w14:textId="77777777" w:rsidR="005D62D8" w:rsidRPr="00A418F2" w:rsidRDefault="005D62D8" w:rsidP="00184B0A">
            <w:pPr>
              <w:rPr>
                <w:rFonts w:ascii="Arial Nova" w:hAnsi="Arial Nova"/>
                <w:color w:val="000000" w:themeColor="text1"/>
                <w:szCs w:val="22"/>
                <w:lang w:eastAsia="en-IN"/>
              </w:rPr>
            </w:pPr>
          </w:p>
        </w:tc>
        <w:tc>
          <w:tcPr>
            <w:tcW w:w="1844" w:type="dxa"/>
            <w:vMerge/>
            <w:vAlign w:val="center"/>
            <w:hideMark/>
          </w:tcPr>
          <w:p w14:paraId="54DAA6C0" w14:textId="77777777" w:rsidR="005D62D8" w:rsidRPr="00A418F2" w:rsidRDefault="005D62D8" w:rsidP="00184B0A">
            <w:pPr>
              <w:rPr>
                <w:rFonts w:ascii="Arial Nova" w:hAnsi="Arial Nova"/>
                <w:b/>
                <w:bCs/>
                <w:color w:val="000000" w:themeColor="text1"/>
                <w:szCs w:val="22"/>
                <w:lang w:eastAsia="en-IN"/>
              </w:rPr>
            </w:pPr>
          </w:p>
        </w:tc>
        <w:tc>
          <w:tcPr>
            <w:tcW w:w="2126" w:type="dxa"/>
            <w:shd w:val="clear" w:color="auto" w:fill="auto"/>
            <w:vAlign w:val="center"/>
            <w:hideMark/>
          </w:tcPr>
          <w:p w14:paraId="633BE545"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Trend and Risk Analysis</w:t>
            </w:r>
          </w:p>
        </w:tc>
        <w:tc>
          <w:tcPr>
            <w:tcW w:w="2552" w:type="dxa"/>
            <w:shd w:val="clear" w:color="auto" w:fill="auto"/>
            <w:vAlign w:val="center"/>
            <w:hideMark/>
          </w:tcPr>
          <w:p w14:paraId="0BD779E3"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Advanced analytics for predictive risk modelling and continuous improvement</w:t>
            </w:r>
          </w:p>
        </w:tc>
        <w:tc>
          <w:tcPr>
            <w:tcW w:w="850" w:type="dxa"/>
            <w:shd w:val="clear" w:color="auto" w:fill="auto"/>
            <w:vAlign w:val="center"/>
            <w:hideMark/>
          </w:tcPr>
          <w:p w14:paraId="646BA991"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1155110C"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077BA605"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07B8342F" w14:textId="77777777" w:rsidTr="002C4442">
        <w:trPr>
          <w:trHeight w:val="690"/>
        </w:trPr>
        <w:tc>
          <w:tcPr>
            <w:tcW w:w="566" w:type="dxa"/>
            <w:vMerge/>
            <w:vAlign w:val="center"/>
            <w:hideMark/>
          </w:tcPr>
          <w:p w14:paraId="732B9AD8" w14:textId="77777777" w:rsidR="005D62D8" w:rsidRPr="00A418F2" w:rsidRDefault="005D62D8" w:rsidP="00184B0A">
            <w:pPr>
              <w:rPr>
                <w:rFonts w:ascii="Arial Nova" w:hAnsi="Arial Nova"/>
                <w:color w:val="000000" w:themeColor="text1"/>
                <w:szCs w:val="22"/>
                <w:lang w:eastAsia="en-IN"/>
              </w:rPr>
            </w:pPr>
          </w:p>
        </w:tc>
        <w:tc>
          <w:tcPr>
            <w:tcW w:w="1844" w:type="dxa"/>
            <w:vMerge/>
            <w:vAlign w:val="center"/>
            <w:hideMark/>
          </w:tcPr>
          <w:p w14:paraId="6AE04953" w14:textId="77777777" w:rsidR="005D62D8" w:rsidRPr="00A418F2" w:rsidRDefault="005D62D8" w:rsidP="00184B0A">
            <w:pPr>
              <w:rPr>
                <w:rFonts w:ascii="Arial Nova" w:hAnsi="Arial Nova"/>
                <w:b/>
                <w:bCs/>
                <w:color w:val="000000" w:themeColor="text1"/>
                <w:szCs w:val="22"/>
                <w:lang w:eastAsia="en-IN"/>
              </w:rPr>
            </w:pPr>
          </w:p>
        </w:tc>
        <w:tc>
          <w:tcPr>
            <w:tcW w:w="2126" w:type="dxa"/>
            <w:shd w:val="clear" w:color="auto" w:fill="auto"/>
            <w:vAlign w:val="center"/>
            <w:hideMark/>
          </w:tcPr>
          <w:p w14:paraId="3969F4E8"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Dashboard Development Requisition Document</w:t>
            </w:r>
          </w:p>
        </w:tc>
        <w:tc>
          <w:tcPr>
            <w:tcW w:w="2552" w:type="dxa"/>
            <w:shd w:val="clear" w:color="auto" w:fill="auto"/>
            <w:vAlign w:val="center"/>
            <w:hideMark/>
          </w:tcPr>
          <w:p w14:paraId="30E53695"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Guidance in preparing a detailed software development requisition document for dashboard visualization development/enhancement</w:t>
            </w:r>
          </w:p>
        </w:tc>
        <w:tc>
          <w:tcPr>
            <w:tcW w:w="850" w:type="dxa"/>
            <w:shd w:val="clear" w:color="auto" w:fill="auto"/>
            <w:vAlign w:val="center"/>
            <w:hideMark/>
          </w:tcPr>
          <w:p w14:paraId="646BC4D9"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156BA70E"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5DF47EFA"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r w:rsidR="002C4442" w:rsidRPr="00A418F2" w14:paraId="75F69941" w14:textId="77777777" w:rsidTr="002C4442">
        <w:trPr>
          <w:trHeight w:val="576"/>
        </w:trPr>
        <w:tc>
          <w:tcPr>
            <w:tcW w:w="566" w:type="dxa"/>
            <w:shd w:val="clear" w:color="auto" w:fill="auto"/>
            <w:vAlign w:val="center"/>
            <w:hideMark/>
          </w:tcPr>
          <w:p w14:paraId="40B6B01D"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lastRenderedPageBreak/>
              <w:t>5</w:t>
            </w:r>
          </w:p>
        </w:tc>
        <w:tc>
          <w:tcPr>
            <w:tcW w:w="1844" w:type="dxa"/>
            <w:shd w:val="clear" w:color="auto" w:fill="auto"/>
            <w:vAlign w:val="center"/>
            <w:hideMark/>
          </w:tcPr>
          <w:p w14:paraId="3B8F157D"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Consolidated report submission</w:t>
            </w:r>
          </w:p>
        </w:tc>
        <w:tc>
          <w:tcPr>
            <w:tcW w:w="2126" w:type="dxa"/>
            <w:shd w:val="clear" w:color="auto" w:fill="auto"/>
            <w:vAlign w:val="center"/>
            <w:hideMark/>
          </w:tcPr>
          <w:p w14:paraId="7B3824CA" w14:textId="77777777" w:rsidR="005D62D8" w:rsidRPr="00A418F2" w:rsidRDefault="005D62D8" w:rsidP="00184B0A">
            <w:pP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Final Review and Approval Report</w:t>
            </w:r>
          </w:p>
        </w:tc>
        <w:tc>
          <w:tcPr>
            <w:tcW w:w="2552" w:type="dxa"/>
            <w:shd w:val="clear" w:color="auto" w:fill="auto"/>
            <w:vAlign w:val="center"/>
            <w:hideMark/>
          </w:tcPr>
          <w:p w14:paraId="33E8450E" w14:textId="77777777" w:rsidR="005D62D8" w:rsidRPr="00A418F2" w:rsidRDefault="005D62D8" w:rsidP="00184B0A">
            <w:pPr>
              <w:rPr>
                <w:rFonts w:ascii="Arial Nova" w:hAnsi="Arial Nova"/>
                <w:color w:val="000000" w:themeColor="text1"/>
                <w:szCs w:val="22"/>
                <w:lang w:eastAsia="en-IN"/>
              </w:rPr>
            </w:pPr>
            <w:r w:rsidRPr="00A418F2">
              <w:rPr>
                <w:rFonts w:ascii="Arial Nova" w:hAnsi="Arial Nova"/>
                <w:color w:val="000000" w:themeColor="text1"/>
                <w:szCs w:val="22"/>
                <w:lang w:eastAsia="en-IN"/>
              </w:rPr>
              <w:t>Summary of assessment, implemented recommendations, and closure status</w:t>
            </w:r>
          </w:p>
        </w:tc>
        <w:tc>
          <w:tcPr>
            <w:tcW w:w="850" w:type="dxa"/>
            <w:shd w:val="clear" w:color="auto" w:fill="auto"/>
            <w:vAlign w:val="center"/>
            <w:hideMark/>
          </w:tcPr>
          <w:p w14:paraId="70AE04AC"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1" w:type="dxa"/>
            <w:shd w:val="clear" w:color="auto" w:fill="auto"/>
            <w:vAlign w:val="center"/>
            <w:hideMark/>
          </w:tcPr>
          <w:p w14:paraId="5EF62B7A"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c>
          <w:tcPr>
            <w:tcW w:w="850" w:type="dxa"/>
            <w:shd w:val="clear" w:color="auto" w:fill="auto"/>
            <w:vAlign w:val="center"/>
            <w:hideMark/>
          </w:tcPr>
          <w:p w14:paraId="24EEBDDD" w14:textId="77777777" w:rsidR="005D62D8" w:rsidRPr="00A418F2" w:rsidRDefault="005D62D8" w:rsidP="00184B0A">
            <w:pPr>
              <w:jc w:val="center"/>
              <w:rPr>
                <w:rFonts w:ascii="Arial Nova" w:hAnsi="Arial Nova"/>
                <w:color w:val="000000" w:themeColor="text1"/>
                <w:szCs w:val="22"/>
                <w:lang w:eastAsia="en-IN"/>
              </w:rPr>
            </w:pPr>
            <w:r w:rsidRPr="00A418F2">
              <w:rPr>
                <w:rFonts w:ascii="Segoe UI Symbol" w:hAnsi="Segoe UI Symbol" w:cs="Segoe UI Symbol"/>
                <w:color w:val="000000" w:themeColor="text1"/>
                <w:szCs w:val="22"/>
                <w:lang w:eastAsia="en-IN"/>
              </w:rPr>
              <w:t>✓</w:t>
            </w:r>
          </w:p>
        </w:tc>
      </w:tr>
    </w:tbl>
    <w:p w14:paraId="256C408E" w14:textId="77777777" w:rsidR="005D62D8" w:rsidRPr="00A418F2" w:rsidRDefault="005D62D8" w:rsidP="005D62D8">
      <w:pPr>
        <w:jc w:val="both"/>
        <w:rPr>
          <w:rFonts w:ascii="Arial Nova" w:hAnsi="Arial Nova"/>
          <w:color w:val="000000" w:themeColor="text1"/>
        </w:rPr>
      </w:pPr>
    </w:p>
    <w:p w14:paraId="44F55BCE" w14:textId="77777777" w:rsidR="005D62D8" w:rsidRPr="00A418F2" w:rsidRDefault="005D62D8" w:rsidP="006C593A">
      <w:pPr>
        <w:pStyle w:val="ListParagraph"/>
        <w:numPr>
          <w:ilvl w:val="0"/>
          <w:numId w:val="11"/>
        </w:numPr>
        <w:spacing w:after="120" w:line="240" w:lineRule="auto"/>
        <w:ind w:left="720"/>
        <w:jc w:val="both"/>
        <w:rPr>
          <w:rFonts w:ascii="Arial Nova" w:eastAsia="Arial" w:hAnsi="Arial Nova"/>
          <w:color w:val="000000" w:themeColor="text1"/>
        </w:rPr>
      </w:pPr>
      <w:r w:rsidRPr="00A418F2">
        <w:rPr>
          <w:rFonts w:ascii="Arial Nova" w:eastAsia="Arial" w:hAnsi="Arial Nova"/>
          <w:b/>
          <w:bCs/>
          <w:color w:val="000000" w:themeColor="text1"/>
        </w:rPr>
        <w:t xml:space="preserve">Minimum Qualifications of the Experts/SME being deputed for the subject Consultancy Work </w:t>
      </w:r>
    </w:p>
    <w:p w14:paraId="13CFCDF9" w14:textId="77777777" w:rsidR="005D62D8" w:rsidRPr="00A418F2" w:rsidRDefault="005D62D8" w:rsidP="005D62D8">
      <w:pPr>
        <w:pStyle w:val="ListParagraph"/>
        <w:spacing w:after="120"/>
        <w:jc w:val="both"/>
        <w:rPr>
          <w:rFonts w:ascii="Arial Nova" w:eastAsia="Arial" w:hAnsi="Arial Nova"/>
          <w:color w:val="000000" w:themeColor="text1"/>
        </w:rPr>
      </w:pPr>
    </w:p>
    <w:p w14:paraId="261D7EA8" w14:textId="77777777" w:rsidR="005D62D8" w:rsidRPr="00A418F2" w:rsidRDefault="005D62D8" w:rsidP="005D62D8">
      <w:pPr>
        <w:pStyle w:val="ListParagraph"/>
        <w:spacing w:after="120"/>
        <w:contextualSpacing w:val="0"/>
        <w:jc w:val="both"/>
        <w:rPr>
          <w:rFonts w:ascii="Arial Nova" w:eastAsia="Arial" w:hAnsi="Arial Nova"/>
          <w:color w:val="000000" w:themeColor="text1"/>
        </w:rPr>
      </w:pPr>
      <w:r w:rsidRPr="00A418F2">
        <w:rPr>
          <w:rFonts w:ascii="Arial Nova" w:eastAsia="Arial" w:hAnsi="Arial Nova"/>
          <w:color w:val="000000" w:themeColor="text1"/>
        </w:rPr>
        <w:t>The experts being deputed for the Subject consultancy work shall have following minimum experience requirements and certification as outlined below:</w:t>
      </w:r>
    </w:p>
    <w:p w14:paraId="5490CB85" w14:textId="77777777" w:rsidR="005D62D8" w:rsidRPr="00A418F2" w:rsidRDefault="005D62D8" w:rsidP="006C593A">
      <w:pPr>
        <w:pStyle w:val="ListParagraph"/>
        <w:numPr>
          <w:ilvl w:val="0"/>
          <w:numId w:val="8"/>
        </w:numPr>
        <w:spacing w:after="120" w:line="240" w:lineRule="auto"/>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Professionals with OT certifications</w:t>
      </w:r>
    </w:p>
    <w:p w14:paraId="51DC9B03" w14:textId="77777777" w:rsidR="005D62D8" w:rsidRPr="00A418F2" w:rsidRDefault="005D62D8" w:rsidP="006C593A">
      <w:pPr>
        <w:pStyle w:val="ListParagraph"/>
        <w:numPr>
          <w:ilvl w:val="0"/>
          <w:numId w:val="9"/>
        </w:numPr>
        <w:spacing w:after="0" w:line="240" w:lineRule="auto"/>
        <w:ind w:left="1530"/>
        <w:contextualSpacing w:val="0"/>
        <w:jc w:val="both"/>
        <w:rPr>
          <w:rFonts w:ascii="Arial Nova" w:eastAsia="Arial" w:hAnsi="Arial Nova"/>
          <w:color w:val="000000" w:themeColor="text1"/>
        </w:rPr>
      </w:pPr>
      <w:r w:rsidRPr="00A418F2">
        <w:rPr>
          <w:rFonts w:ascii="Arial Nova" w:eastAsia="Arial" w:hAnsi="Arial Nova"/>
          <w:color w:val="000000" w:themeColor="text1"/>
        </w:rPr>
        <w:t xml:space="preserve">GRID (GIAC Response and Industrial </w:t>
      </w:r>
      <w:proofErr w:type="spellStart"/>
      <w:r w:rsidRPr="00A418F2">
        <w:rPr>
          <w:rFonts w:ascii="Arial Nova" w:eastAsia="Arial" w:hAnsi="Arial Nova"/>
          <w:color w:val="000000" w:themeColor="text1"/>
        </w:rPr>
        <w:t>Defence</w:t>
      </w:r>
      <w:proofErr w:type="spellEnd"/>
      <w:r w:rsidRPr="00A418F2">
        <w:rPr>
          <w:rFonts w:ascii="Arial Nova" w:eastAsia="Arial" w:hAnsi="Arial Nova"/>
          <w:color w:val="000000" w:themeColor="text1"/>
        </w:rPr>
        <w:t xml:space="preserve">) with at least 2 years of experience in or cybersecurity in the ICT/OT domain </w:t>
      </w:r>
      <w:r w:rsidRPr="00A418F2">
        <w:rPr>
          <w:rFonts w:ascii="Arial Nova" w:eastAsia="Arial" w:hAnsi="Arial Nova"/>
          <w:b/>
          <w:bCs/>
          <w:color w:val="000000" w:themeColor="text1"/>
        </w:rPr>
        <w:t>or</w:t>
      </w:r>
      <w:r w:rsidRPr="00A418F2">
        <w:rPr>
          <w:rFonts w:ascii="Arial Nova" w:eastAsia="Arial" w:hAnsi="Arial Nova"/>
          <w:color w:val="000000" w:themeColor="text1"/>
        </w:rPr>
        <w:t xml:space="preserve"> </w:t>
      </w:r>
    </w:p>
    <w:p w14:paraId="173398EF" w14:textId="77777777" w:rsidR="005D62D8" w:rsidRPr="00A418F2" w:rsidRDefault="005D62D8" w:rsidP="006C593A">
      <w:pPr>
        <w:pStyle w:val="ListParagraph"/>
        <w:numPr>
          <w:ilvl w:val="0"/>
          <w:numId w:val="9"/>
        </w:numPr>
        <w:spacing w:after="0" w:line="240" w:lineRule="auto"/>
        <w:ind w:left="1530"/>
        <w:contextualSpacing w:val="0"/>
        <w:jc w:val="both"/>
        <w:rPr>
          <w:rFonts w:ascii="Arial Nova" w:eastAsia="Arial" w:hAnsi="Arial Nova"/>
          <w:b/>
          <w:bCs/>
          <w:color w:val="000000" w:themeColor="text1"/>
        </w:rPr>
      </w:pPr>
      <w:r w:rsidRPr="00A418F2">
        <w:rPr>
          <w:rFonts w:ascii="Arial Nova" w:eastAsia="Arial" w:hAnsi="Arial Nova"/>
          <w:color w:val="000000" w:themeColor="text1"/>
        </w:rPr>
        <w:t xml:space="preserve">GICSP (Global Industrial Cyber Security Professional) with at least 2 years of experience in or cybersecurity in the ICT/OT domain </w:t>
      </w:r>
      <w:r w:rsidRPr="00A418F2">
        <w:rPr>
          <w:rFonts w:ascii="Arial Nova" w:eastAsia="Arial" w:hAnsi="Arial Nova"/>
          <w:b/>
          <w:bCs/>
          <w:color w:val="000000" w:themeColor="text1"/>
        </w:rPr>
        <w:t xml:space="preserve">or </w:t>
      </w:r>
    </w:p>
    <w:p w14:paraId="317ED04F" w14:textId="77777777" w:rsidR="005D62D8" w:rsidRPr="00A418F2" w:rsidRDefault="005D62D8" w:rsidP="006C593A">
      <w:pPr>
        <w:pStyle w:val="ListParagraph"/>
        <w:numPr>
          <w:ilvl w:val="0"/>
          <w:numId w:val="9"/>
        </w:numPr>
        <w:spacing w:after="0" w:line="240" w:lineRule="auto"/>
        <w:ind w:left="1530"/>
        <w:contextualSpacing w:val="0"/>
        <w:jc w:val="both"/>
        <w:rPr>
          <w:rFonts w:ascii="Arial Nova" w:eastAsia="Arial" w:hAnsi="Arial Nova"/>
          <w:b/>
          <w:bCs/>
          <w:color w:val="000000" w:themeColor="text1"/>
        </w:rPr>
      </w:pPr>
      <w:r w:rsidRPr="00A418F2">
        <w:rPr>
          <w:rFonts w:ascii="Arial Nova" w:eastAsia="Arial" w:hAnsi="Arial Nova"/>
          <w:color w:val="000000" w:themeColor="text1"/>
        </w:rPr>
        <w:t xml:space="preserve">Certification from the International Society of Automation (ISA) IEC 62443 Expert Series with at least 2 years of experience in or cybersecurity in the ICT/OT domain </w:t>
      </w:r>
      <w:r w:rsidRPr="00A418F2">
        <w:rPr>
          <w:rFonts w:ascii="Arial Nova" w:eastAsia="Arial" w:hAnsi="Arial Nova"/>
          <w:b/>
          <w:bCs/>
          <w:color w:val="000000" w:themeColor="text1"/>
        </w:rPr>
        <w:t xml:space="preserve">or </w:t>
      </w:r>
    </w:p>
    <w:p w14:paraId="690A251D" w14:textId="77777777" w:rsidR="005D62D8" w:rsidRDefault="005D62D8" w:rsidP="006C593A">
      <w:pPr>
        <w:pStyle w:val="ListParagraph"/>
        <w:numPr>
          <w:ilvl w:val="0"/>
          <w:numId w:val="9"/>
        </w:numPr>
        <w:spacing w:after="0" w:line="240" w:lineRule="auto"/>
        <w:ind w:left="1530"/>
        <w:contextualSpacing w:val="0"/>
        <w:jc w:val="both"/>
        <w:rPr>
          <w:rFonts w:ascii="Arial Nova" w:eastAsia="Arial" w:hAnsi="Arial Nova"/>
          <w:color w:val="000000" w:themeColor="text1"/>
        </w:rPr>
      </w:pPr>
      <w:r w:rsidRPr="00A418F2">
        <w:rPr>
          <w:rFonts w:ascii="Arial Nova" w:eastAsia="Arial" w:hAnsi="Arial Nova"/>
          <w:color w:val="000000" w:themeColor="text1"/>
        </w:rPr>
        <w:t>CSSA (Certified SCADA Security Architect) with at least 2 years of experience in or cybersecurity in the ICT/OT domain</w:t>
      </w:r>
    </w:p>
    <w:p w14:paraId="453EAF23" w14:textId="77777777" w:rsidR="005D62D8" w:rsidRPr="00A418F2" w:rsidRDefault="005D62D8" w:rsidP="005D62D8">
      <w:pPr>
        <w:pStyle w:val="ListParagraph"/>
        <w:ind w:left="1530"/>
        <w:contextualSpacing w:val="0"/>
        <w:jc w:val="both"/>
        <w:rPr>
          <w:rFonts w:ascii="Arial Nova" w:eastAsia="Arial" w:hAnsi="Arial Nova"/>
          <w:color w:val="000000" w:themeColor="text1"/>
        </w:rPr>
      </w:pPr>
    </w:p>
    <w:p w14:paraId="10D1B73F" w14:textId="77777777" w:rsidR="005D62D8" w:rsidRPr="00A418F2" w:rsidRDefault="005D62D8" w:rsidP="006C593A">
      <w:pPr>
        <w:pStyle w:val="ListParagraph"/>
        <w:numPr>
          <w:ilvl w:val="0"/>
          <w:numId w:val="8"/>
        </w:numPr>
        <w:spacing w:after="0" w:line="240" w:lineRule="auto"/>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Certifications for Professionals with IT certifications</w:t>
      </w:r>
    </w:p>
    <w:p w14:paraId="586FA415" w14:textId="77777777" w:rsidR="005D62D8" w:rsidRPr="00A418F2" w:rsidRDefault="005D62D8" w:rsidP="006C593A">
      <w:pPr>
        <w:pStyle w:val="ListParagraph"/>
        <w:numPr>
          <w:ilvl w:val="0"/>
          <w:numId w:val="10"/>
        </w:numPr>
        <w:spacing w:after="0" w:line="240" w:lineRule="auto"/>
        <w:ind w:left="1560"/>
        <w:contextualSpacing w:val="0"/>
        <w:jc w:val="both"/>
        <w:rPr>
          <w:rFonts w:ascii="Arial Nova" w:eastAsia="Arial" w:hAnsi="Arial Nova"/>
          <w:b/>
          <w:bCs/>
          <w:color w:val="000000" w:themeColor="text1"/>
        </w:rPr>
      </w:pPr>
      <w:r w:rsidRPr="00A418F2">
        <w:rPr>
          <w:rFonts w:ascii="Arial Nova" w:eastAsia="Arial" w:hAnsi="Arial Nova"/>
          <w:color w:val="000000" w:themeColor="text1"/>
        </w:rPr>
        <w:t xml:space="preserve">CISSP (Certified Information Systems Security Professional) with at least 2 years of experience in information security domain </w:t>
      </w:r>
      <w:r w:rsidRPr="00A418F2">
        <w:rPr>
          <w:rFonts w:ascii="Arial Nova" w:eastAsia="Arial" w:hAnsi="Arial Nova"/>
          <w:b/>
          <w:bCs/>
          <w:color w:val="000000" w:themeColor="text1"/>
        </w:rPr>
        <w:t xml:space="preserve">or </w:t>
      </w:r>
    </w:p>
    <w:p w14:paraId="4DF69C4F" w14:textId="77777777" w:rsidR="005D62D8" w:rsidRPr="00A418F2" w:rsidRDefault="005D62D8" w:rsidP="006C593A">
      <w:pPr>
        <w:pStyle w:val="ListParagraph"/>
        <w:numPr>
          <w:ilvl w:val="0"/>
          <w:numId w:val="10"/>
        </w:numPr>
        <w:spacing w:after="0" w:line="240" w:lineRule="auto"/>
        <w:ind w:left="1620"/>
        <w:contextualSpacing w:val="0"/>
        <w:jc w:val="both"/>
        <w:rPr>
          <w:rFonts w:ascii="Arial Nova" w:eastAsia="Arial" w:hAnsi="Arial Nova"/>
          <w:b/>
          <w:bCs/>
          <w:color w:val="000000" w:themeColor="text1"/>
        </w:rPr>
      </w:pPr>
      <w:r w:rsidRPr="00A418F2">
        <w:rPr>
          <w:rFonts w:ascii="Arial Nova" w:eastAsia="Arial" w:hAnsi="Arial Nova"/>
          <w:color w:val="000000" w:themeColor="text1"/>
        </w:rPr>
        <w:t xml:space="preserve">CISM (Certified Information Security Manager) with at least 2 years of experience in information security domain </w:t>
      </w:r>
      <w:r w:rsidRPr="00A418F2">
        <w:rPr>
          <w:rFonts w:ascii="Arial Nova" w:eastAsia="Arial" w:hAnsi="Arial Nova"/>
          <w:b/>
          <w:bCs/>
          <w:color w:val="000000" w:themeColor="text1"/>
        </w:rPr>
        <w:t>or</w:t>
      </w:r>
    </w:p>
    <w:p w14:paraId="08D76502" w14:textId="77777777" w:rsidR="005D62D8" w:rsidRPr="00A418F2" w:rsidRDefault="005D62D8" w:rsidP="006C593A">
      <w:pPr>
        <w:pStyle w:val="ListParagraph"/>
        <w:numPr>
          <w:ilvl w:val="0"/>
          <w:numId w:val="10"/>
        </w:numPr>
        <w:spacing w:after="0" w:line="240" w:lineRule="auto"/>
        <w:ind w:left="1620"/>
        <w:contextualSpacing w:val="0"/>
        <w:jc w:val="both"/>
        <w:rPr>
          <w:rFonts w:ascii="Arial Nova" w:eastAsia="Arial" w:hAnsi="Arial Nova"/>
          <w:color w:val="000000" w:themeColor="text1"/>
        </w:rPr>
      </w:pPr>
      <w:r w:rsidRPr="00A418F2">
        <w:rPr>
          <w:rFonts w:ascii="Arial Nova" w:eastAsia="Arial" w:hAnsi="Arial Nova"/>
          <w:color w:val="000000" w:themeColor="text1"/>
        </w:rPr>
        <w:t>CRISC (Certified in Risk and Information Systems Control) with at least 2 years of experience in information security domain</w:t>
      </w:r>
    </w:p>
    <w:p w14:paraId="4A4ABD31" w14:textId="77777777" w:rsidR="005D62D8" w:rsidRPr="00A418F2" w:rsidRDefault="005D62D8" w:rsidP="006C593A">
      <w:pPr>
        <w:pStyle w:val="ListParagraph"/>
        <w:numPr>
          <w:ilvl w:val="0"/>
          <w:numId w:val="8"/>
        </w:numPr>
        <w:spacing w:after="120" w:line="240" w:lineRule="auto"/>
        <w:contextualSpacing w:val="0"/>
        <w:jc w:val="both"/>
        <w:rPr>
          <w:rFonts w:ascii="Arial Nova" w:eastAsia="Arial" w:hAnsi="Arial Nova"/>
          <w:color w:val="000000" w:themeColor="text1"/>
        </w:rPr>
      </w:pPr>
      <w:r w:rsidRPr="00A418F2">
        <w:rPr>
          <w:rFonts w:ascii="Arial Nova" w:eastAsia="Arial" w:hAnsi="Arial Nova"/>
          <w:b/>
          <w:bCs/>
          <w:color w:val="000000" w:themeColor="text1"/>
        </w:rPr>
        <w:t xml:space="preserve">Experience Requirements from Team Manager: </w:t>
      </w:r>
      <w:r w:rsidRPr="00A418F2">
        <w:rPr>
          <w:rFonts w:ascii="Arial Nova" w:eastAsia="Arial" w:hAnsi="Arial Nova"/>
          <w:color w:val="000000" w:themeColor="text1"/>
        </w:rPr>
        <w:t>A minimum of 10 years of experience in information or cybersecurity roles. And out of which at least 3 years of experience in conducting cybersecurity risk assessments for energy sector projects.</w:t>
      </w:r>
    </w:p>
    <w:p w14:paraId="3048D4DF" w14:textId="77777777" w:rsidR="005D62D8" w:rsidRPr="00A418F2" w:rsidRDefault="005D62D8" w:rsidP="005D62D8">
      <w:pPr>
        <w:spacing w:after="120"/>
        <w:ind w:left="720"/>
        <w:jc w:val="both"/>
        <w:rPr>
          <w:rFonts w:ascii="Arial Nova" w:eastAsia="Arial" w:hAnsi="Arial Nova"/>
          <w:color w:val="000000" w:themeColor="text1"/>
        </w:rPr>
      </w:pPr>
      <w:r w:rsidRPr="00A418F2">
        <w:rPr>
          <w:rFonts w:ascii="Arial Nova" w:eastAsia="Arial" w:hAnsi="Arial Nova"/>
          <w:color w:val="000000" w:themeColor="text1"/>
        </w:rPr>
        <w:t>The successful bidder shall submit the CV’s and supporting documents for all support personnel(s) to Employer for approval before deployment at site. The Employer can ask the consultant to replace the personnel deployed for maintenance support if his performance is not found to be satisfactory.</w:t>
      </w:r>
    </w:p>
    <w:p w14:paraId="751B4135" w14:textId="77777777" w:rsidR="005D62D8" w:rsidRPr="00A418F2" w:rsidRDefault="005D62D8" w:rsidP="006C593A">
      <w:pPr>
        <w:pStyle w:val="ListParagraph"/>
        <w:numPr>
          <w:ilvl w:val="0"/>
          <w:numId w:val="11"/>
        </w:numPr>
        <w:spacing w:after="120" w:line="240" w:lineRule="auto"/>
        <w:ind w:left="709" w:hanging="502"/>
        <w:jc w:val="both"/>
        <w:rPr>
          <w:rFonts w:ascii="Arial Nova" w:eastAsia="Arial" w:hAnsi="Arial Nova"/>
          <w:b/>
          <w:bCs/>
          <w:color w:val="000000" w:themeColor="text1"/>
        </w:rPr>
      </w:pPr>
      <w:r w:rsidRPr="00A418F2">
        <w:rPr>
          <w:rFonts w:ascii="Arial Nova" w:eastAsia="Arial" w:hAnsi="Arial Nova"/>
          <w:b/>
          <w:bCs/>
          <w:color w:val="000000" w:themeColor="text1"/>
        </w:rPr>
        <w:t>Technical Bid Proposal</w:t>
      </w:r>
    </w:p>
    <w:p w14:paraId="31A1720F" w14:textId="77777777" w:rsidR="005D62D8" w:rsidRDefault="005D62D8" w:rsidP="005D62D8">
      <w:pPr>
        <w:pStyle w:val="ListParagraph"/>
        <w:spacing w:after="120"/>
        <w:ind w:left="709"/>
        <w:jc w:val="both"/>
        <w:rPr>
          <w:rFonts w:ascii="Arial Nova" w:eastAsia="Arial" w:hAnsi="Arial Nova"/>
          <w:b/>
          <w:bCs/>
          <w:color w:val="000000" w:themeColor="text1"/>
        </w:rPr>
      </w:pPr>
      <w:r w:rsidRPr="00A418F2">
        <w:rPr>
          <w:rFonts w:ascii="Arial Nova" w:eastAsia="Arial" w:hAnsi="Arial Nova"/>
          <w:color w:val="000000" w:themeColor="text1"/>
        </w:rPr>
        <w:t>Technical Bid proposals shall include comprehensive information regarding approach, methodology, and capabilities for executing the above consultancy work.</w:t>
      </w:r>
      <w:r w:rsidRPr="00A418F2">
        <w:rPr>
          <w:rFonts w:ascii="Arial Nova" w:eastAsia="Arial" w:hAnsi="Arial Nova"/>
          <w:b/>
          <w:bCs/>
          <w:color w:val="000000" w:themeColor="text1"/>
        </w:rPr>
        <w:t xml:space="preserve"> </w:t>
      </w:r>
    </w:p>
    <w:p w14:paraId="67F6E144" w14:textId="77777777" w:rsidR="006C593A" w:rsidRDefault="006C593A" w:rsidP="005D62D8">
      <w:pPr>
        <w:pStyle w:val="ListParagraph"/>
        <w:spacing w:after="120"/>
        <w:ind w:left="709"/>
        <w:jc w:val="both"/>
        <w:rPr>
          <w:rFonts w:ascii="Arial Nova" w:eastAsia="Arial" w:hAnsi="Arial Nova"/>
          <w:b/>
          <w:bCs/>
          <w:color w:val="000000" w:themeColor="text1"/>
        </w:rPr>
      </w:pPr>
    </w:p>
    <w:p w14:paraId="25990702" w14:textId="77777777" w:rsidR="006C593A" w:rsidRDefault="006C593A" w:rsidP="005D62D8">
      <w:pPr>
        <w:pStyle w:val="ListParagraph"/>
        <w:spacing w:after="120"/>
        <w:ind w:left="709"/>
        <w:jc w:val="both"/>
        <w:rPr>
          <w:rFonts w:ascii="Arial Nova" w:eastAsia="Arial" w:hAnsi="Arial Nova"/>
          <w:b/>
          <w:bCs/>
          <w:color w:val="000000" w:themeColor="text1"/>
        </w:rPr>
      </w:pPr>
    </w:p>
    <w:p w14:paraId="1AB0DB6B" w14:textId="77777777" w:rsidR="006C593A" w:rsidRPr="00C84593" w:rsidRDefault="006C593A" w:rsidP="005D62D8">
      <w:pPr>
        <w:pStyle w:val="ListParagraph"/>
        <w:spacing w:after="120"/>
        <w:ind w:left="709"/>
        <w:jc w:val="both"/>
        <w:rPr>
          <w:rFonts w:ascii="Arial Nova" w:eastAsia="Arial" w:hAnsi="Arial Nova"/>
          <w:b/>
          <w:bCs/>
          <w:color w:val="000000" w:themeColor="text1"/>
        </w:rPr>
      </w:pPr>
    </w:p>
    <w:p w14:paraId="19A18131" w14:textId="77777777" w:rsidR="005D62D8" w:rsidRPr="00A418F2" w:rsidRDefault="005D62D8" w:rsidP="006C593A">
      <w:pPr>
        <w:pStyle w:val="ListParagraph"/>
        <w:numPr>
          <w:ilvl w:val="0"/>
          <w:numId w:val="11"/>
        </w:numPr>
        <w:spacing w:after="120" w:line="240" w:lineRule="auto"/>
        <w:ind w:left="709" w:hanging="502"/>
        <w:jc w:val="both"/>
        <w:rPr>
          <w:rFonts w:ascii="Arial Nova" w:eastAsia="Arial" w:hAnsi="Arial Nova"/>
          <w:b/>
          <w:bCs/>
          <w:color w:val="000000" w:themeColor="text1"/>
        </w:rPr>
      </w:pPr>
      <w:proofErr w:type="spellStart"/>
      <w:r w:rsidRPr="00A418F2">
        <w:rPr>
          <w:rFonts w:ascii="Arial Nova" w:eastAsia="Arial" w:hAnsi="Arial Nova"/>
          <w:b/>
          <w:bCs/>
          <w:color w:val="000000" w:themeColor="text1"/>
        </w:rPr>
        <w:lastRenderedPageBreak/>
        <w:t>BoQ</w:t>
      </w:r>
      <w:proofErr w:type="spellEnd"/>
      <w:r w:rsidRPr="00A418F2">
        <w:rPr>
          <w:rFonts w:ascii="Arial Nova" w:eastAsia="Arial" w:hAnsi="Arial Nova"/>
          <w:b/>
          <w:bCs/>
          <w:color w:val="000000" w:themeColor="text1"/>
        </w:rPr>
        <w:t xml:space="preserve"> (Bill of Quantity)</w:t>
      </w:r>
    </w:p>
    <w:p w14:paraId="63E6032D" w14:textId="77777777" w:rsidR="005D62D8" w:rsidRPr="00A418F2" w:rsidRDefault="005D62D8" w:rsidP="005D62D8">
      <w:pPr>
        <w:pStyle w:val="ListParagraph"/>
        <w:spacing w:after="120"/>
        <w:ind w:left="709"/>
        <w:contextualSpacing w:val="0"/>
        <w:jc w:val="both"/>
        <w:rPr>
          <w:rFonts w:ascii="Arial Nova" w:eastAsia="Arial" w:hAnsi="Arial Nova"/>
          <w:b/>
          <w:bCs/>
          <w:color w:val="000000" w:themeColor="text1"/>
        </w:rPr>
      </w:pPr>
      <w:r w:rsidRPr="00A418F2">
        <w:rPr>
          <w:rFonts w:ascii="Arial Nova" w:eastAsia="Arial" w:hAnsi="Arial Nova"/>
          <w:color w:val="000000" w:themeColor="text1"/>
        </w:rPr>
        <w:t xml:space="preserve">The payment shall be done as per </w:t>
      </w:r>
      <w:proofErr w:type="spellStart"/>
      <w:r w:rsidRPr="00A418F2">
        <w:rPr>
          <w:rFonts w:ascii="Arial Nova" w:eastAsia="Arial" w:hAnsi="Arial Nova"/>
          <w:color w:val="000000" w:themeColor="text1"/>
        </w:rPr>
        <w:t>BoQ</w:t>
      </w:r>
      <w:proofErr w:type="spellEnd"/>
      <w:r w:rsidRPr="00A418F2">
        <w:rPr>
          <w:rFonts w:ascii="Arial Nova" w:eastAsia="Arial" w:hAnsi="Arial Nova"/>
          <w:color w:val="000000" w:themeColor="text1"/>
        </w:rPr>
        <w:t xml:space="preserve"> which are mentioned below:</w:t>
      </w:r>
    </w:p>
    <w:tbl>
      <w:tblPr>
        <w:tblW w:w="8401" w:type="dxa"/>
        <w:tblInd w:w="846" w:type="dxa"/>
        <w:tblCellMar>
          <w:top w:w="15" w:type="dxa"/>
          <w:bottom w:w="15" w:type="dxa"/>
        </w:tblCellMar>
        <w:tblLook w:val="04A0" w:firstRow="1" w:lastRow="0" w:firstColumn="1" w:lastColumn="0" w:noHBand="0" w:noVBand="1"/>
      </w:tblPr>
      <w:tblGrid>
        <w:gridCol w:w="1022"/>
        <w:gridCol w:w="5279"/>
        <w:gridCol w:w="1143"/>
        <w:gridCol w:w="957"/>
      </w:tblGrid>
      <w:tr w:rsidR="005D62D8" w:rsidRPr="00A418F2" w14:paraId="1E71F626" w14:textId="77777777" w:rsidTr="00184B0A">
        <w:trPr>
          <w:trHeight w:val="504"/>
        </w:trPr>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noWrap/>
            <w:vAlign w:val="center"/>
            <w:hideMark/>
          </w:tcPr>
          <w:p w14:paraId="0A14AF0A"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S. No.</w:t>
            </w:r>
          </w:p>
        </w:tc>
        <w:tc>
          <w:tcPr>
            <w:tcW w:w="52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noWrap/>
            <w:vAlign w:val="center"/>
            <w:hideMark/>
          </w:tcPr>
          <w:p w14:paraId="568BD65E"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Description</w:t>
            </w:r>
          </w:p>
        </w:tc>
        <w:tc>
          <w:tcPr>
            <w:tcW w:w="11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noWrap/>
            <w:vAlign w:val="center"/>
            <w:hideMark/>
          </w:tcPr>
          <w:p w14:paraId="4DABB5C8"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Unit</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noWrap/>
            <w:vAlign w:val="center"/>
            <w:hideMark/>
          </w:tcPr>
          <w:p w14:paraId="4F698722" w14:textId="77777777" w:rsidR="005D62D8" w:rsidRPr="00A418F2" w:rsidRDefault="005D62D8" w:rsidP="00184B0A">
            <w:pPr>
              <w:jc w:val="center"/>
              <w:rPr>
                <w:rFonts w:ascii="Arial Nova" w:hAnsi="Arial Nova"/>
                <w:b/>
                <w:bCs/>
                <w:color w:val="000000" w:themeColor="text1"/>
                <w:szCs w:val="22"/>
                <w:lang w:eastAsia="en-IN"/>
              </w:rPr>
            </w:pPr>
            <w:r w:rsidRPr="00A418F2">
              <w:rPr>
                <w:rFonts w:ascii="Arial Nova" w:hAnsi="Arial Nova"/>
                <w:b/>
                <w:bCs/>
                <w:color w:val="000000" w:themeColor="text1"/>
                <w:szCs w:val="22"/>
                <w:lang w:eastAsia="en-IN"/>
              </w:rPr>
              <w:t>Qty.</w:t>
            </w:r>
          </w:p>
        </w:tc>
      </w:tr>
      <w:tr w:rsidR="005D62D8" w:rsidRPr="00A418F2" w14:paraId="3594C62A" w14:textId="77777777" w:rsidTr="00184B0A">
        <w:trPr>
          <w:trHeight w:val="557"/>
        </w:trPr>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4FCDEA2"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1</w:t>
            </w:r>
          </w:p>
        </w:tc>
        <w:tc>
          <w:tcPr>
            <w:tcW w:w="5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F5A3A0" w14:textId="77777777" w:rsidR="005D62D8" w:rsidRPr="00A418F2" w:rsidRDefault="005D62D8" w:rsidP="00184B0A">
            <w:pPr>
              <w:rPr>
                <w:rFonts w:ascii="Arial Nova" w:hAnsi="Arial Nova"/>
                <w:color w:val="000000" w:themeColor="text1"/>
                <w:lang w:eastAsia="en-IN"/>
              </w:rPr>
            </w:pPr>
            <w:r w:rsidRPr="00A418F2">
              <w:rPr>
                <w:rFonts w:ascii="Arial Nova" w:hAnsi="Arial Nova"/>
                <w:color w:val="000000" w:themeColor="text1"/>
                <w:lang w:eastAsia="en-IN"/>
              </w:rPr>
              <w:t>Policy, Procedure, Documentation and Process Review/ Assessment</w:t>
            </w:r>
          </w:p>
        </w:tc>
        <w:tc>
          <w:tcPr>
            <w:tcW w:w="11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193027F" w14:textId="77777777" w:rsidR="005D62D8" w:rsidRPr="00A418F2" w:rsidRDefault="005D62D8" w:rsidP="00184B0A">
            <w:pPr>
              <w:jc w:val="center"/>
              <w:rPr>
                <w:rFonts w:ascii="Arial Nova" w:hAnsi="Arial Nova"/>
                <w:color w:val="000000" w:themeColor="text1"/>
              </w:rPr>
            </w:pPr>
            <w:r w:rsidRPr="00A418F2">
              <w:rPr>
                <w:rFonts w:ascii="Arial Nova" w:hAnsi="Arial Nova"/>
                <w:color w:val="000000" w:themeColor="text1"/>
                <w:szCs w:val="22"/>
                <w:lang w:eastAsia="en-IN"/>
              </w:rPr>
              <w:t>EA</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FD3A604"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3</w:t>
            </w:r>
          </w:p>
        </w:tc>
      </w:tr>
      <w:tr w:rsidR="005D62D8" w:rsidRPr="00A418F2" w14:paraId="03F6F85C" w14:textId="77777777" w:rsidTr="00184B0A">
        <w:trPr>
          <w:trHeight w:val="543"/>
        </w:trPr>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7830383"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2</w:t>
            </w:r>
          </w:p>
        </w:tc>
        <w:tc>
          <w:tcPr>
            <w:tcW w:w="5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2A92A7" w14:textId="77777777" w:rsidR="005D62D8" w:rsidRPr="00A418F2" w:rsidRDefault="005D62D8" w:rsidP="00184B0A">
            <w:pPr>
              <w:rPr>
                <w:rFonts w:ascii="Arial Nova" w:hAnsi="Arial Nova"/>
                <w:color w:val="000000" w:themeColor="text1"/>
                <w:lang w:eastAsia="en-IN"/>
              </w:rPr>
            </w:pPr>
            <w:r w:rsidRPr="00A418F2">
              <w:rPr>
                <w:rFonts w:ascii="Arial Nova" w:hAnsi="Arial Nova"/>
                <w:color w:val="000000" w:themeColor="text1"/>
                <w:lang w:eastAsia="en-IN"/>
              </w:rPr>
              <w:t xml:space="preserve">Infrastructure Architecture Security Review and Defence-In-Depth Analysis </w:t>
            </w:r>
          </w:p>
        </w:tc>
        <w:tc>
          <w:tcPr>
            <w:tcW w:w="11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448F73F"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EA</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E41F8EA"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3</w:t>
            </w:r>
          </w:p>
        </w:tc>
      </w:tr>
      <w:tr w:rsidR="005D62D8" w:rsidRPr="00A418F2" w14:paraId="5FB25CFF" w14:textId="77777777" w:rsidTr="00184B0A">
        <w:trPr>
          <w:trHeight w:val="504"/>
        </w:trPr>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4A2A29C"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3</w:t>
            </w:r>
          </w:p>
        </w:tc>
        <w:tc>
          <w:tcPr>
            <w:tcW w:w="5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45158F" w14:textId="77777777" w:rsidR="005D62D8" w:rsidRPr="00A418F2" w:rsidRDefault="005D62D8" w:rsidP="00184B0A">
            <w:pPr>
              <w:rPr>
                <w:rFonts w:ascii="Arial Nova" w:hAnsi="Arial Nova"/>
                <w:color w:val="000000" w:themeColor="text1"/>
                <w:lang w:eastAsia="en-IN"/>
              </w:rPr>
            </w:pPr>
            <w:r w:rsidRPr="00A418F2">
              <w:rPr>
                <w:rFonts w:ascii="Arial Nova" w:hAnsi="Arial Nova"/>
                <w:color w:val="000000" w:themeColor="text1"/>
                <w:lang w:eastAsia="en-IN"/>
              </w:rPr>
              <w:t xml:space="preserve">Security Operations Centre assessment and enhancement </w:t>
            </w:r>
          </w:p>
        </w:tc>
        <w:tc>
          <w:tcPr>
            <w:tcW w:w="11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B58F574" w14:textId="77777777" w:rsidR="005D62D8" w:rsidRPr="00A418F2" w:rsidRDefault="005D62D8" w:rsidP="00184B0A">
            <w:pPr>
              <w:jc w:val="center"/>
              <w:rPr>
                <w:rFonts w:ascii="Arial Nova" w:hAnsi="Arial Nova"/>
                <w:color w:val="000000" w:themeColor="text1"/>
              </w:rPr>
            </w:pPr>
            <w:r w:rsidRPr="00A418F2">
              <w:rPr>
                <w:rFonts w:ascii="Arial Nova" w:hAnsi="Arial Nova"/>
                <w:color w:val="000000" w:themeColor="text1"/>
                <w:szCs w:val="22"/>
                <w:lang w:eastAsia="en-IN"/>
              </w:rPr>
              <w:t>EA</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ECD2933"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3</w:t>
            </w:r>
          </w:p>
        </w:tc>
      </w:tr>
      <w:tr w:rsidR="005D62D8" w:rsidRPr="00A418F2" w14:paraId="546AC3FB" w14:textId="77777777" w:rsidTr="00184B0A">
        <w:trPr>
          <w:trHeight w:val="610"/>
        </w:trPr>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8A689D0"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4</w:t>
            </w:r>
          </w:p>
        </w:tc>
        <w:tc>
          <w:tcPr>
            <w:tcW w:w="5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01CEFA" w14:textId="77777777" w:rsidR="005D62D8" w:rsidRPr="00A418F2" w:rsidRDefault="005D62D8" w:rsidP="00184B0A">
            <w:pPr>
              <w:rPr>
                <w:rFonts w:ascii="Arial Nova" w:hAnsi="Arial Nova"/>
                <w:color w:val="000000" w:themeColor="text1"/>
                <w:lang w:eastAsia="en-IN"/>
              </w:rPr>
            </w:pPr>
            <w:r w:rsidRPr="00A418F2">
              <w:rPr>
                <w:rFonts w:ascii="Arial Nova" w:hAnsi="Arial Nova"/>
                <w:color w:val="000000" w:themeColor="text1"/>
                <w:lang w:eastAsia="en-IN"/>
              </w:rPr>
              <w:t xml:space="preserve">Security Metrics Program, KPI/KRI identification, recommendation/guidance for implementation dashboard visualization </w:t>
            </w:r>
          </w:p>
        </w:tc>
        <w:tc>
          <w:tcPr>
            <w:tcW w:w="11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86DFB33" w14:textId="77777777" w:rsidR="005D62D8" w:rsidRPr="00A418F2" w:rsidRDefault="005D62D8" w:rsidP="00184B0A">
            <w:pPr>
              <w:jc w:val="center"/>
              <w:rPr>
                <w:rFonts w:ascii="Arial Nova" w:hAnsi="Arial Nova"/>
                <w:color w:val="000000" w:themeColor="text1"/>
              </w:rPr>
            </w:pPr>
            <w:r w:rsidRPr="00A418F2">
              <w:rPr>
                <w:rFonts w:ascii="Arial Nova" w:hAnsi="Arial Nova"/>
                <w:color w:val="000000" w:themeColor="text1"/>
                <w:szCs w:val="22"/>
                <w:lang w:eastAsia="en-IN"/>
              </w:rPr>
              <w:t>EA</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E4ABE13"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3</w:t>
            </w:r>
          </w:p>
        </w:tc>
      </w:tr>
      <w:tr w:rsidR="005D62D8" w:rsidRPr="00A418F2" w14:paraId="1EE3B8F2" w14:textId="77777777" w:rsidTr="00184B0A">
        <w:trPr>
          <w:trHeight w:val="543"/>
        </w:trPr>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EED4F4C"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5</w:t>
            </w:r>
          </w:p>
        </w:tc>
        <w:tc>
          <w:tcPr>
            <w:tcW w:w="5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07EBA8" w14:textId="77777777" w:rsidR="005D62D8" w:rsidRPr="00A418F2" w:rsidRDefault="005D62D8" w:rsidP="00184B0A">
            <w:pPr>
              <w:rPr>
                <w:rFonts w:ascii="Arial Nova" w:hAnsi="Arial Nova"/>
                <w:color w:val="000000" w:themeColor="text1"/>
                <w:lang w:eastAsia="en-IN"/>
              </w:rPr>
            </w:pPr>
            <w:r w:rsidRPr="00A418F2">
              <w:rPr>
                <w:rFonts w:ascii="Arial Nova" w:hAnsi="Arial Nova"/>
                <w:color w:val="000000" w:themeColor="text1"/>
                <w:lang w:eastAsia="en-IN"/>
              </w:rPr>
              <w:t>Engagement of SME (Subject Matter Expert) up to 100 man-days (on requirement basis)</w:t>
            </w:r>
          </w:p>
        </w:tc>
        <w:tc>
          <w:tcPr>
            <w:tcW w:w="11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7E845B9"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Man-days</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4C7C52B" w14:textId="77777777" w:rsidR="005D62D8" w:rsidRPr="00A418F2" w:rsidRDefault="005D62D8" w:rsidP="00184B0A">
            <w:pPr>
              <w:jc w:val="center"/>
              <w:rPr>
                <w:rFonts w:ascii="Arial Nova" w:hAnsi="Arial Nova"/>
                <w:color w:val="000000" w:themeColor="text1"/>
                <w:szCs w:val="22"/>
                <w:lang w:eastAsia="en-IN"/>
              </w:rPr>
            </w:pPr>
            <w:r w:rsidRPr="00A418F2">
              <w:rPr>
                <w:rFonts w:ascii="Arial Nova" w:hAnsi="Arial Nova"/>
                <w:color w:val="000000" w:themeColor="text1"/>
                <w:szCs w:val="22"/>
                <w:lang w:eastAsia="en-IN"/>
              </w:rPr>
              <w:t>100</w:t>
            </w:r>
          </w:p>
        </w:tc>
      </w:tr>
    </w:tbl>
    <w:p w14:paraId="213AE9D7" w14:textId="77777777" w:rsidR="005D62D8" w:rsidRPr="00C84593" w:rsidRDefault="005D62D8" w:rsidP="005D62D8">
      <w:pPr>
        <w:pStyle w:val="ListParagraph"/>
        <w:spacing w:after="120"/>
        <w:ind w:left="709"/>
        <w:jc w:val="both"/>
        <w:rPr>
          <w:rFonts w:ascii="Arial Nova" w:eastAsia="Arial" w:hAnsi="Arial Nova"/>
          <w:b/>
          <w:bCs/>
          <w:color w:val="000000" w:themeColor="text1"/>
          <w:sz w:val="6"/>
          <w:szCs w:val="6"/>
        </w:rPr>
      </w:pPr>
    </w:p>
    <w:p w14:paraId="6C29B358" w14:textId="77777777" w:rsidR="005D62D8" w:rsidRPr="00A418F2" w:rsidRDefault="005D62D8" w:rsidP="005D62D8">
      <w:pPr>
        <w:pStyle w:val="ListParagraph"/>
        <w:spacing w:after="120"/>
        <w:ind w:left="709"/>
        <w:jc w:val="both"/>
        <w:rPr>
          <w:rFonts w:ascii="Arial Nova" w:eastAsia="Arial" w:hAnsi="Arial Nova"/>
          <w:b/>
          <w:bCs/>
          <w:color w:val="000000" w:themeColor="text1"/>
        </w:rPr>
      </w:pPr>
      <w:r w:rsidRPr="00A418F2">
        <w:rPr>
          <w:rFonts w:ascii="Arial Nova" w:eastAsia="Arial" w:hAnsi="Arial Nova"/>
          <w:b/>
          <w:bCs/>
          <w:color w:val="000000" w:themeColor="text1"/>
        </w:rPr>
        <w:t>EA = For each year</w:t>
      </w:r>
    </w:p>
    <w:p w14:paraId="603C1FF0" w14:textId="77777777" w:rsidR="005D62D8" w:rsidRPr="00A418F2" w:rsidRDefault="005D62D8" w:rsidP="005D62D8">
      <w:pPr>
        <w:spacing w:after="120"/>
        <w:ind w:left="720"/>
        <w:jc w:val="both"/>
        <w:rPr>
          <w:rFonts w:ascii="Arial Nova" w:eastAsia="Arial" w:hAnsi="Arial Nova"/>
          <w:color w:val="000000" w:themeColor="text1"/>
        </w:rPr>
      </w:pPr>
    </w:p>
    <w:p w14:paraId="7DA22D33" w14:textId="77777777" w:rsidR="005D62D8" w:rsidRPr="00A418F2" w:rsidRDefault="005D62D8" w:rsidP="006C593A">
      <w:pPr>
        <w:pStyle w:val="ListParagraph"/>
        <w:numPr>
          <w:ilvl w:val="0"/>
          <w:numId w:val="11"/>
        </w:numPr>
        <w:spacing w:after="120" w:line="240" w:lineRule="auto"/>
        <w:ind w:left="709" w:hanging="502"/>
        <w:contextualSpacing w:val="0"/>
        <w:jc w:val="both"/>
        <w:rPr>
          <w:rFonts w:ascii="Arial Nova" w:eastAsia="Arial" w:hAnsi="Arial Nova"/>
          <w:b/>
          <w:bCs/>
          <w:color w:val="000000" w:themeColor="text1"/>
        </w:rPr>
      </w:pPr>
      <w:r w:rsidRPr="00A418F2">
        <w:rPr>
          <w:rFonts w:ascii="Arial Nova" w:eastAsia="Arial" w:hAnsi="Arial Nova"/>
          <w:b/>
          <w:bCs/>
          <w:color w:val="000000" w:themeColor="text1"/>
        </w:rPr>
        <w:t>Payment Terms:</w:t>
      </w:r>
    </w:p>
    <w:p w14:paraId="51ACF6C3" w14:textId="77777777" w:rsidR="005D62D8" w:rsidRPr="00A418F2" w:rsidRDefault="005D62D8" w:rsidP="005D62D8">
      <w:pPr>
        <w:spacing w:after="120"/>
        <w:ind w:firstLine="207"/>
        <w:jc w:val="both"/>
        <w:rPr>
          <w:rFonts w:ascii="Arial Nova" w:eastAsia="Arial" w:hAnsi="Arial Nova"/>
          <w:b/>
          <w:bCs/>
          <w:color w:val="000000" w:themeColor="text1"/>
        </w:rPr>
      </w:pPr>
      <w:r w:rsidRPr="00A418F2">
        <w:rPr>
          <w:rFonts w:ascii="Arial Nova" w:eastAsia="Arial" w:hAnsi="Arial Nova"/>
          <w:color w:val="000000" w:themeColor="text1"/>
        </w:rPr>
        <w:t xml:space="preserve">   </w:t>
      </w:r>
      <w:r w:rsidRPr="00A418F2">
        <w:rPr>
          <w:rFonts w:ascii="Arial Nova" w:eastAsia="Arial" w:hAnsi="Arial Nova"/>
          <w:b/>
          <w:bCs/>
          <w:color w:val="000000" w:themeColor="text1"/>
        </w:rPr>
        <w:t xml:space="preserve">Payment Terms for </w:t>
      </w:r>
      <w:proofErr w:type="spellStart"/>
      <w:r w:rsidRPr="00A418F2">
        <w:rPr>
          <w:rFonts w:ascii="Arial Nova" w:eastAsia="Arial" w:hAnsi="Arial Nova"/>
          <w:b/>
          <w:bCs/>
          <w:color w:val="000000" w:themeColor="text1"/>
        </w:rPr>
        <w:t>BoQ</w:t>
      </w:r>
      <w:proofErr w:type="spellEnd"/>
      <w:r w:rsidRPr="00A418F2">
        <w:rPr>
          <w:rFonts w:ascii="Arial Nova" w:eastAsia="Arial" w:hAnsi="Arial Nova"/>
          <w:b/>
          <w:bCs/>
          <w:color w:val="000000" w:themeColor="text1"/>
        </w:rPr>
        <w:t xml:space="preserve"> items 1 to 4 (Section 7):</w:t>
      </w:r>
    </w:p>
    <w:p w14:paraId="73836CC8" w14:textId="77777777" w:rsidR="005D62D8" w:rsidRPr="00A418F2" w:rsidRDefault="005D62D8" w:rsidP="006C593A">
      <w:pPr>
        <w:numPr>
          <w:ilvl w:val="0"/>
          <w:numId w:val="1"/>
        </w:numPr>
        <w:spacing w:after="120" w:line="240" w:lineRule="auto"/>
        <w:ind w:left="1080"/>
        <w:jc w:val="both"/>
        <w:rPr>
          <w:rFonts w:ascii="Arial Nova" w:eastAsia="Arial" w:hAnsi="Arial Nova"/>
          <w:color w:val="000000" w:themeColor="text1"/>
        </w:rPr>
      </w:pPr>
      <w:r w:rsidRPr="00A418F2">
        <w:rPr>
          <w:rFonts w:ascii="Arial Nova" w:eastAsia="Arial" w:hAnsi="Arial Nova"/>
          <w:b/>
          <w:bCs/>
          <w:color w:val="000000" w:themeColor="text1"/>
        </w:rPr>
        <w:t>70% of the total amount</w:t>
      </w:r>
      <w:r w:rsidRPr="00A418F2">
        <w:rPr>
          <w:rFonts w:ascii="Arial Nova" w:eastAsia="Arial" w:hAnsi="Arial Nova"/>
          <w:color w:val="000000" w:themeColor="text1"/>
        </w:rPr>
        <w:t xml:space="preserve"> for each line item specified in section 7 for each year shall be paid after security gap assessment, submission of assessment reports (as per section 4) and acceptance of the same by the Engineer-In-Charge.</w:t>
      </w:r>
    </w:p>
    <w:p w14:paraId="13F11B9C" w14:textId="77777777" w:rsidR="005D62D8" w:rsidRPr="00A418F2" w:rsidRDefault="005D62D8" w:rsidP="006C593A">
      <w:pPr>
        <w:numPr>
          <w:ilvl w:val="0"/>
          <w:numId w:val="1"/>
        </w:numPr>
        <w:spacing w:after="120" w:line="240" w:lineRule="auto"/>
        <w:ind w:left="1080"/>
        <w:jc w:val="both"/>
        <w:rPr>
          <w:rFonts w:ascii="Arial Nova" w:eastAsia="Arial" w:hAnsi="Arial Nova"/>
          <w:color w:val="000000" w:themeColor="text1"/>
        </w:rPr>
      </w:pPr>
      <w:r w:rsidRPr="00A418F2">
        <w:rPr>
          <w:rFonts w:ascii="Arial Nova" w:eastAsia="Arial" w:hAnsi="Arial Nova"/>
          <w:b/>
          <w:bCs/>
          <w:color w:val="000000" w:themeColor="text1"/>
        </w:rPr>
        <w:t>20% of the total amount</w:t>
      </w:r>
      <w:r w:rsidRPr="00A418F2">
        <w:rPr>
          <w:rFonts w:ascii="Arial Nova" w:eastAsia="Arial" w:hAnsi="Arial Nova"/>
          <w:color w:val="000000" w:themeColor="text1"/>
        </w:rPr>
        <w:t xml:space="preserve"> for each line item specified in section 7 for each year shall be paid after re-assessment on compliance by POWERGRID and submission of re-assessment report and acceptance of the same by the Engineer-In-Charge.</w:t>
      </w:r>
    </w:p>
    <w:p w14:paraId="23BCF954" w14:textId="77777777" w:rsidR="005D62D8" w:rsidRPr="00A418F2" w:rsidRDefault="005D62D8" w:rsidP="006C593A">
      <w:pPr>
        <w:numPr>
          <w:ilvl w:val="0"/>
          <w:numId w:val="1"/>
        </w:numPr>
        <w:spacing w:after="120" w:line="240" w:lineRule="auto"/>
        <w:ind w:left="1080"/>
        <w:jc w:val="both"/>
        <w:rPr>
          <w:rFonts w:ascii="Arial Nova" w:eastAsia="Arial" w:hAnsi="Arial Nova"/>
          <w:color w:val="000000" w:themeColor="text1"/>
        </w:rPr>
      </w:pPr>
      <w:r w:rsidRPr="00A418F2">
        <w:rPr>
          <w:rFonts w:ascii="Arial Nova" w:eastAsia="Arial" w:hAnsi="Arial Nova"/>
          <w:color w:val="000000" w:themeColor="text1"/>
        </w:rPr>
        <w:t xml:space="preserve">The </w:t>
      </w:r>
      <w:r w:rsidRPr="00A418F2">
        <w:rPr>
          <w:rFonts w:ascii="Arial Nova" w:eastAsia="Arial" w:hAnsi="Arial Nova"/>
          <w:b/>
          <w:bCs/>
          <w:color w:val="000000" w:themeColor="text1"/>
        </w:rPr>
        <w:t xml:space="preserve">balance 10% of the total amount </w:t>
      </w:r>
      <w:r w:rsidRPr="00A418F2">
        <w:rPr>
          <w:rFonts w:ascii="Arial Nova" w:eastAsia="Arial" w:hAnsi="Arial Nova"/>
          <w:color w:val="000000" w:themeColor="text1"/>
        </w:rPr>
        <w:t>shall be</w:t>
      </w:r>
      <w:r w:rsidRPr="00A418F2">
        <w:rPr>
          <w:rFonts w:ascii="Arial Nova" w:eastAsia="Arial" w:hAnsi="Arial Nova"/>
          <w:b/>
          <w:bCs/>
          <w:color w:val="000000" w:themeColor="text1"/>
        </w:rPr>
        <w:t xml:space="preserve"> </w:t>
      </w:r>
      <w:r w:rsidRPr="00A418F2">
        <w:rPr>
          <w:rFonts w:ascii="Arial Nova" w:eastAsia="Arial" w:hAnsi="Arial Nova"/>
          <w:color w:val="000000" w:themeColor="text1"/>
        </w:rPr>
        <w:t>paid upon final completion of the project.</w:t>
      </w:r>
    </w:p>
    <w:p w14:paraId="119A6359" w14:textId="77777777" w:rsidR="005D62D8" w:rsidRPr="00A418F2" w:rsidRDefault="005D62D8" w:rsidP="005D62D8">
      <w:pPr>
        <w:pBdr>
          <w:bottom w:val="single" w:sz="4" w:space="1" w:color="auto"/>
        </w:pBdr>
        <w:spacing w:after="120"/>
        <w:jc w:val="both"/>
        <w:rPr>
          <w:rFonts w:ascii="Arial Nova" w:eastAsia="Arial" w:hAnsi="Arial Nova"/>
          <w:color w:val="000000" w:themeColor="text1"/>
        </w:rPr>
      </w:pPr>
      <w:r w:rsidRPr="00A418F2">
        <w:rPr>
          <w:rFonts w:ascii="Arial Nova" w:eastAsia="Arial" w:hAnsi="Arial Nova"/>
          <w:b/>
          <w:bCs/>
          <w:color w:val="000000" w:themeColor="text1"/>
        </w:rPr>
        <w:t xml:space="preserve">Payment Terms for </w:t>
      </w:r>
      <w:proofErr w:type="spellStart"/>
      <w:r w:rsidRPr="00A418F2">
        <w:rPr>
          <w:rFonts w:ascii="Arial Nova" w:eastAsia="Arial" w:hAnsi="Arial Nova"/>
          <w:b/>
          <w:bCs/>
          <w:color w:val="000000" w:themeColor="text1"/>
        </w:rPr>
        <w:t>BoQ</w:t>
      </w:r>
      <w:proofErr w:type="spellEnd"/>
      <w:r w:rsidRPr="00A418F2">
        <w:rPr>
          <w:rFonts w:ascii="Arial Nova" w:eastAsia="Arial" w:hAnsi="Arial Nova"/>
          <w:b/>
          <w:bCs/>
          <w:color w:val="000000" w:themeColor="text1"/>
        </w:rPr>
        <w:t xml:space="preserve"> item 5 (Section 7):</w:t>
      </w:r>
      <w:r w:rsidRPr="00A418F2">
        <w:rPr>
          <w:rFonts w:ascii="Arial Nova" w:eastAsia="Arial" w:hAnsi="Arial Nova"/>
          <w:color w:val="000000" w:themeColor="text1"/>
        </w:rPr>
        <w:t xml:space="preserve"> Quarterly 100% on the man-days consumed (if any).</w:t>
      </w:r>
    </w:p>
    <w:p w14:paraId="6AE2175C" w14:textId="77777777" w:rsidR="005D62D8" w:rsidRPr="00A418F2" w:rsidRDefault="005D62D8" w:rsidP="005D62D8">
      <w:pPr>
        <w:spacing w:after="120"/>
        <w:jc w:val="both"/>
        <w:rPr>
          <w:rFonts w:ascii="Arial Nova" w:eastAsia="Arial" w:hAnsi="Arial Nova"/>
          <w:color w:val="000000" w:themeColor="text1"/>
        </w:rPr>
      </w:pPr>
    </w:p>
    <w:p w14:paraId="7EA70FF1" w14:textId="77777777" w:rsidR="005D62D8" w:rsidRDefault="005D62D8" w:rsidP="005D62D8">
      <w:pPr>
        <w:pStyle w:val="Heading1"/>
        <w:spacing w:after="38"/>
        <w:jc w:val="right"/>
      </w:pPr>
      <w:r w:rsidRPr="4594973F">
        <w:t>ANNEXURE-</w:t>
      </w:r>
      <w:proofErr w:type="gramStart"/>
      <w:r w:rsidRPr="4594973F">
        <w:t>A</w:t>
      </w:r>
      <w:r>
        <w:t>(</w:t>
      </w:r>
      <w:proofErr w:type="gramEnd"/>
      <w:r w:rsidRPr="009B203D">
        <w:t>list of practices and processes</w:t>
      </w:r>
      <w:r>
        <w:t>)</w:t>
      </w:r>
    </w:p>
    <w:p w14:paraId="6A1B8390" w14:textId="77777777" w:rsidR="005D62D8" w:rsidRDefault="005D62D8" w:rsidP="005D62D8">
      <w:pPr>
        <w:pStyle w:val="Heading1"/>
        <w:spacing w:after="38"/>
      </w:pPr>
      <w:r w:rsidRPr="000F1E43">
        <w:t>NCRF Practices and processes</w:t>
      </w:r>
      <w:r>
        <w:t xml:space="preserve"> </w:t>
      </w:r>
    </w:p>
    <w:p w14:paraId="3C93249F" w14:textId="77777777" w:rsidR="005D62D8" w:rsidRDefault="005D62D8" w:rsidP="005D62D8">
      <w:pPr>
        <w:ind w:left="-5" w:right="2"/>
      </w:pPr>
    </w:p>
    <w:tbl>
      <w:tblPr>
        <w:tblStyle w:val="TableGrid0"/>
        <w:tblW w:w="8997" w:type="dxa"/>
        <w:tblInd w:w="6" w:type="dxa"/>
        <w:tblCellMar>
          <w:top w:w="47" w:type="dxa"/>
          <w:left w:w="106" w:type="dxa"/>
          <w:right w:w="113" w:type="dxa"/>
        </w:tblCellMar>
        <w:tblLook w:val="04A0" w:firstRow="1" w:lastRow="0" w:firstColumn="1" w:lastColumn="0" w:noHBand="0" w:noVBand="1"/>
      </w:tblPr>
      <w:tblGrid>
        <w:gridCol w:w="806"/>
        <w:gridCol w:w="8191"/>
      </w:tblGrid>
      <w:tr w:rsidR="005D62D8" w14:paraId="5D6B6299" w14:textId="77777777" w:rsidTr="00184B0A">
        <w:trPr>
          <w:trHeight w:val="274"/>
        </w:trPr>
        <w:tc>
          <w:tcPr>
            <w:tcW w:w="806" w:type="dxa"/>
            <w:tcBorders>
              <w:top w:val="single" w:sz="4" w:space="0" w:color="000000"/>
              <w:left w:val="single" w:sz="4" w:space="0" w:color="000000"/>
              <w:bottom w:val="single" w:sz="4" w:space="0" w:color="000000"/>
              <w:right w:val="single" w:sz="4" w:space="0" w:color="000000"/>
            </w:tcBorders>
            <w:shd w:val="clear" w:color="auto" w:fill="D9D9D9"/>
          </w:tcPr>
          <w:p w14:paraId="73F0C485" w14:textId="77777777" w:rsidR="005D62D8" w:rsidRDefault="005D62D8" w:rsidP="00184B0A">
            <w:pPr>
              <w:spacing w:line="259" w:lineRule="auto"/>
              <w:ind w:left="4"/>
            </w:pPr>
            <w:r>
              <w:rPr>
                <w:b/>
              </w:rPr>
              <w:t xml:space="preserve">S. No. </w:t>
            </w:r>
          </w:p>
        </w:tc>
        <w:tc>
          <w:tcPr>
            <w:tcW w:w="8191" w:type="dxa"/>
            <w:tcBorders>
              <w:top w:val="single" w:sz="4" w:space="0" w:color="000000"/>
              <w:left w:val="single" w:sz="4" w:space="0" w:color="000000"/>
              <w:bottom w:val="single" w:sz="4" w:space="0" w:color="000000"/>
              <w:right w:val="single" w:sz="4" w:space="0" w:color="000000"/>
            </w:tcBorders>
            <w:shd w:val="clear" w:color="auto" w:fill="D9D9D9"/>
          </w:tcPr>
          <w:p w14:paraId="76B01D92" w14:textId="77777777" w:rsidR="005D62D8" w:rsidRDefault="005D62D8" w:rsidP="00184B0A">
            <w:pPr>
              <w:spacing w:line="259" w:lineRule="auto"/>
            </w:pPr>
            <w:r>
              <w:rPr>
                <w:b/>
              </w:rPr>
              <w:t xml:space="preserve">Practice / Process </w:t>
            </w:r>
          </w:p>
        </w:tc>
      </w:tr>
      <w:tr w:rsidR="005D62D8" w14:paraId="2B3F3405" w14:textId="77777777" w:rsidTr="00184B0A">
        <w:trPr>
          <w:trHeight w:val="284"/>
        </w:trPr>
        <w:tc>
          <w:tcPr>
            <w:tcW w:w="806" w:type="dxa"/>
            <w:tcBorders>
              <w:top w:val="single" w:sz="4" w:space="0" w:color="000000"/>
              <w:left w:val="single" w:sz="4" w:space="0" w:color="000000"/>
              <w:bottom w:val="single" w:sz="4" w:space="0" w:color="000000"/>
              <w:right w:val="single" w:sz="4" w:space="0" w:color="000000"/>
            </w:tcBorders>
          </w:tcPr>
          <w:p w14:paraId="7BB26B75" w14:textId="77777777" w:rsidR="005D62D8" w:rsidRDefault="005D62D8" w:rsidP="00184B0A">
            <w:pPr>
              <w:spacing w:line="259" w:lineRule="auto"/>
              <w:ind w:left="4"/>
            </w:pPr>
            <w:r>
              <w:t xml:space="preserve">1 </w:t>
            </w:r>
          </w:p>
        </w:tc>
        <w:tc>
          <w:tcPr>
            <w:tcW w:w="8191" w:type="dxa"/>
            <w:tcBorders>
              <w:top w:val="single" w:sz="4" w:space="0" w:color="000000"/>
              <w:left w:val="single" w:sz="4" w:space="0" w:color="000000"/>
              <w:bottom w:val="single" w:sz="4" w:space="0" w:color="000000"/>
              <w:right w:val="single" w:sz="4" w:space="0" w:color="000000"/>
            </w:tcBorders>
          </w:tcPr>
          <w:p w14:paraId="06D16C95" w14:textId="77777777" w:rsidR="005D62D8" w:rsidRDefault="005D62D8" w:rsidP="00184B0A">
            <w:pPr>
              <w:spacing w:line="259" w:lineRule="auto"/>
            </w:pPr>
            <w:r>
              <w:t xml:space="preserve">Governance of Information Security  </w:t>
            </w:r>
          </w:p>
        </w:tc>
      </w:tr>
      <w:tr w:rsidR="005D62D8" w14:paraId="69FA7B73"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32BB7DE2" w14:textId="77777777" w:rsidR="005D62D8" w:rsidRDefault="005D62D8" w:rsidP="00184B0A">
            <w:pPr>
              <w:spacing w:line="259" w:lineRule="auto"/>
              <w:ind w:left="4"/>
            </w:pPr>
            <w:r>
              <w:t xml:space="preserve">2 </w:t>
            </w:r>
          </w:p>
        </w:tc>
        <w:tc>
          <w:tcPr>
            <w:tcW w:w="8191" w:type="dxa"/>
            <w:tcBorders>
              <w:top w:val="single" w:sz="4" w:space="0" w:color="000000"/>
              <w:left w:val="single" w:sz="4" w:space="0" w:color="000000"/>
              <w:bottom w:val="single" w:sz="4" w:space="0" w:color="000000"/>
              <w:right w:val="single" w:sz="4" w:space="0" w:color="000000"/>
            </w:tcBorders>
          </w:tcPr>
          <w:p w14:paraId="5DD90750" w14:textId="77777777" w:rsidR="005D62D8" w:rsidRDefault="005D62D8" w:rsidP="00184B0A">
            <w:pPr>
              <w:spacing w:line="259" w:lineRule="auto"/>
            </w:pPr>
            <w:r>
              <w:t xml:space="preserve">Risk Management </w:t>
            </w:r>
          </w:p>
        </w:tc>
      </w:tr>
      <w:tr w:rsidR="005D62D8" w14:paraId="6E997241"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495EE07D" w14:textId="77777777" w:rsidR="005D62D8" w:rsidRDefault="005D62D8" w:rsidP="00184B0A">
            <w:pPr>
              <w:spacing w:line="259" w:lineRule="auto"/>
              <w:ind w:left="4"/>
            </w:pPr>
            <w:r>
              <w:t xml:space="preserve">3 </w:t>
            </w:r>
          </w:p>
        </w:tc>
        <w:tc>
          <w:tcPr>
            <w:tcW w:w="8191" w:type="dxa"/>
            <w:tcBorders>
              <w:top w:val="single" w:sz="4" w:space="0" w:color="000000"/>
              <w:left w:val="single" w:sz="4" w:space="0" w:color="000000"/>
              <w:bottom w:val="single" w:sz="4" w:space="0" w:color="000000"/>
              <w:right w:val="single" w:sz="4" w:space="0" w:color="000000"/>
            </w:tcBorders>
          </w:tcPr>
          <w:p w14:paraId="57D702F6" w14:textId="77777777" w:rsidR="005D62D8" w:rsidRDefault="005D62D8" w:rsidP="00184B0A">
            <w:pPr>
              <w:spacing w:line="259" w:lineRule="auto"/>
            </w:pPr>
            <w:r>
              <w:t xml:space="preserve">Supply Chain Security Management </w:t>
            </w:r>
          </w:p>
        </w:tc>
      </w:tr>
      <w:tr w:rsidR="005D62D8" w14:paraId="58793C79"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0FC10E1E" w14:textId="77777777" w:rsidR="005D62D8" w:rsidRDefault="005D62D8" w:rsidP="00184B0A">
            <w:pPr>
              <w:spacing w:line="259" w:lineRule="auto"/>
              <w:ind w:left="4"/>
            </w:pPr>
            <w:r>
              <w:lastRenderedPageBreak/>
              <w:t xml:space="preserve">4 </w:t>
            </w:r>
          </w:p>
        </w:tc>
        <w:tc>
          <w:tcPr>
            <w:tcW w:w="8191" w:type="dxa"/>
            <w:tcBorders>
              <w:top w:val="single" w:sz="4" w:space="0" w:color="000000"/>
              <w:left w:val="single" w:sz="4" w:space="0" w:color="000000"/>
              <w:bottom w:val="single" w:sz="4" w:space="0" w:color="000000"/>
              <w:right w:val="single" w:sz="4" w:space="0" w:color="000000"/>
            </w:tcBorders>
          </w:tcPr>
          <w:p w14:paraId="7C475AF4" w14:textId="77777777" w:rsidR="005D62D8" w:rsidRDefault="005D62D8" w:rsidP="00184B0A">
            <w:pPr>
              <w:spacing w:line="259" w:lineRule="auto"/>
            </w:pPr>
            <w:r>
              <w:t xml:space="preserve">Compliance Management  </w:t>
            </w:r>
          </w:p>
        </w:tc>
      </w:tr>
      <w:tr w:rsidR="005D62D8" w14:paraId="49027C5D" w14:textId="77777777" w:rsidTr="00184B0A">
        <w:trPr>
          <w:trHeight w:val="279"/>
        </w:trPr>
        <w:tc>
          <w:tcPr>
            <w:tcW w:w="806" w:type="dxa"/>
            <w:tcBorders>
              <w:top w:val="single" w:sz="4" w:space="0" w:color="000000"/>
              <w:left w:val="single" w:sz="4" w:space="0" w:color="000000"/>
              <w:bottom w:val="single" w:sz="4" w:space="0" w:color="000000"/>
              <w:right w:val="single" w:sz="4" w:space="0" w:color="000000"/>
            </w:tcBorders>
          </w:tcPr>
          <w:p w14:paraId="3E11D549" w14:textId="77777777" w:rsidR="005D62D8" w:rsidRDefault="005D62D8" w:rsidP="00184B0A">
            <w:pPr>
              <w:spacing w:line="259" w:lineRule="auto"/>
              <w:ind w:left="4"/>
            </w:pPr>
            <w:r>
              <w:t xml:space="preserve">5 </w:t>
            </w:r>
          </w:p>
        </w:tc>
        <w:tc>
          <w:tcPr>
            <w:tcW w:w="8191" w:type="dxa"/>
            <w:tcBorders>
              <w:top w:val="single" w:sz="4" w:space="0" w:color="000000"/>
              <w:left w:val="single" w:sz="4" w:space="0" w:color="000000"/>
              <w:bottom w:val="single" w:sz="4" w:space="0" w:color="000000"/>
              <w:right w:val="single" w:sz="4" w:space="0" w:color="000000"/>
            </w:tcBorders>
          </w:tcPr>
          <w:p w14:paraId="4D301781" w14:textId="77777777" w:rsidR="005D62D8" w:rsidRDefault="005D62D8" w:rsidP="00184B0A">
            <w:pPr>
              <w:spacing w:line="259" w:lineRule="auto"/>
            </w:pPr>
            <w:r>
              <w:t xml:space="preserve">Audit Management </w:t>
            </w:r>
          </w:p>
        </w:tc>
      </w:tr>
      <w:tr w:rsidR="005D62D8" w14:paraId="631AC819"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7F69E714" w14:textId="77777777" w:rsidR="005D62D8" w:rsidRDefault="005D62D8" w:rsidP="00184B0A">
            <w:pPr>
              <w:spacing w:line="259" w:lineRule="auto"/>
              <w:ind w:left="4"/>
            </w:pPr>
            <w:r>
              <w:t xml:space="preserve">6 </w:t>
            </w:r>
          </w:p>
        </w:tc>
        <w:tc>
          <w:tcPr>
            <w:tcW w:w="8191" w:type="dxa"/>
            <w:tcBorders>
              <w:top w:val="single" w:sz="4" w:space="0" w:color="000000"/>
              <w:left w:val="single" w:sz="4" w:space="0" w:color="000000"/>
              <w:bottom w:val="single" w:sz="4" w:space="0" w:color="000000"/>
              <w:right w:val="single" w:sz="4" w:space="0" w:color="000000"/>
            </w:tcBorders>
          </w:tcPr>
          <w:p w14:paraId="1CD2EEAB" w14:textId="77777777" w:rsidR="005D62D8" w:rsidRDefault="005D62D8" w:rsidP="00184B0A">
            <w:pPr>
              <w:spacing w:line="259" w:lineRule="auto"/>
            </w:pPr>
            <w:r>
              <w:t xml:space="preserve">ISMS Design and Implementation </w:t>
            </w:r>
          </w:p>
        </w:tc>
      </w:tr>
      <w:tr w:rsidR="005D62D8" w14:paraId="46576F88"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157B46D8" w14:textId="77777777" w:rsidR="005D62D8" w:rsidRDefault="005D62D8" w:rsidP="00184B0A">
            <w:pPr>
              <w:spacing w:line="259" w:lineRule="auto"/>
              <w:ind w:left="4"/>
            </w:pPr>
            <w:r>
              <w:t xml:space="preserve">7 </w:t>
            </w:r>
          </w:p>
        </w:tc>
        <w:tc>
          <w:tcPr>
            <w:tcW w:w="8191" w:type="dxa"/>
            <w:tcBorders>
              <w:top w:val="single" w:sz="4" w:space="0" w:color="000000"/>
              <w:left w:val="single" w:sz="4" w:space="0" w:color="000000"/>
              <w:bottom w:val="single" w:sz="4" w:space="0" w:color="000000"/>
              <w:right w:val="single" w:sz="4" w:space="0" w:color="000000"/>
            </w:tcBorders>
          </w:tcPr>
          <w:p w14:paraId="35598531" w14:textId="77777777" w:rsidR="005D62D8" w:rsidRDefault="005D62D8" w:rsidP="00184B0A">
            <w:pPr>
              <w:spacing w:line="259" w:lineRule="auto"/>
            </w:pPr>
            <w:r>
              <w:t xml:space="preserve">Identification of CII  </w:t>
            </w:r>
          </w:p>
        </w:tc>
      </w:tr>
      <w:tr w:rsidR="005D62D8" w14:paraId="281B051A"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235EA03B" w14:textId="77777777" w:rsidR="005D62D8" w:rsidRDefault="005D62D8" w:rsidP="00184B0A">
            <w:pPr>
              <w:spacing w:line="259" w:lineRule="auto"/>
              <w:ind w:left="4"/>
            </w:pPr>
            <w:r>
              <w:t xml:space="preserve">8 </w:t>
            </w:r>
          </w:p>
        </w:tc>
        <w:tc>
          <w:tcPr>
            <w:tcW w:w="8191" w:type="dxa"/>
            <w:tcBorders>
              <w:top w:val="single" w:sz="4" w:space="0" w:color="000000"/>
              <w:left w:val="single" w:sz="4" w:space="0" w:color="000000"/>
              <w:bottom w:val="single" w:sz="4" w:space="0" w:color="000000"/>
              <w:right w:val="single" w:sz="4" w:space="0" w:color="000000"/>
            </w:tcBorders>
          </w:tcPr>
          <w:p w14:paraId="0035B986" w14:textId="77777777" w:rsidR="005D62D8" w:rsidRDefault="005D62D8" w:rsidP="00184B0A">
            <w:pPr>
              <w:spacing w:line="259" w:lineRule="auto"/>
            </w:pPr>
            <w:r>
              <w:t xml:space="preserve">Threat Modelling </w:t>
            </w:r>
          </w:p>
        </w:tc>
      </w:tr>
      <w:tr w:rsidR="005D62D8" w14:paraId="1C348A0C"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2F9F6B7F" w14:textId="77777777" w:rsidR="005D62D8" w:rsidRDefault="005D62D8" w:rsidP="00184B0A">
            <w:pPr>
              <w:spacing w:line="259" w:lineRule="auto"/>
              <w:ind w:left="4"/>
            </w:pPr>
            <w:r>
              <w:t xml:space="preserve">9 </w:t>
            </w:r>
          </w:p>
        </w:tc>
        <w:tc>
          <w:tcPr>
            <w:tcW w:w="8191" w:type="dxa"/>
            <w:tcBorders>
              <w:top w:val="single" w:sz="4" w:space="0" w:color="000000"/>
              <w:left w:val="single" w:sz="4" w:space="0" w:color="000000"/>
              <w:bottom w:val="single" w:sz="4" w:space="0" w:color="000000"/>
              <w:right w:val="single" w:sz="4" w:space="0" w:color="000000"/>
            </w:tcBorders>
          </w:tcPr>
          <w:p w14:paraId="11EBC014" w14:textId="77777777" w:rsidR="005D62D8" w:rsidRDefault="005D62D8" w:rsidP="00184B0A">
            <w:pPr>
              <w:spacing w:line="259" w:lineRule="auto"/>
            </w:pPr>
            <w:r>
              <w:t xml:space="preserve">Project Design &amp; Implementation (System Acquisition &amp; Maintenance / Upgradation) </w:t>
            </w:r>
          </w:p>
        </w:tc>
      </w:tr>
      <w:tr w:rsidR="005D62D8" w14:paraId="5927585F"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26A0AC7A" w14:textId="77777777" w:rsidR="005D62D8" w:rsidRDefault="005D62D8" w:rsidP="00184B0A">
            <w:pPr>
              <w:spacing w:line="259" w:lineRule="auto"/>
              <w:ind w:left="4"/>
            </w:pPr>
            <w:r>
              <w:t xml:space="preserve">10 </w:t>
            </w:r>
          </w:p>
        </w:tc>
        <w:tc>
          <w:tcPr>
            <w:tcW w:w="8191" w:type="dxa"/>
            <w:tcBorders>
              <w:top w:val="single" w:sz="4" w:space="0" w:color="000000"/>
              <w:left w:val="single" w:sz="4" w:space="0" w:color="000000"/>
              <w:bottom w:val="single" w:sz="4" w:space="0" w:color="000000"/>
              <w:right w:val="single" w:sz="4" w:space="0" w:color="000000"/>
            </w:tcBorders>
          </w:tcPr>
          <w:p w14:paraId="7D058E0C" w14:textId="77777777" w:rsidR="005D62D8" w:rsidRDefault="005D62D8" w:rsidP="00184B0A">
            <w:pPr>
              <w:spacing w:line="259" w:lineRule="auto"/>
            </w:pPr>
            <w:r>
              <w:t xml:space="preserve">Security Design &amp; Engineering </w:t>
            </w:r>
          </w:p>
        </w:tc>
      </w:tr>
      <w:tr w:rsidR="005D62D8" w14:paraId="035E76BB"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557611A6" w14:textId="77777777" w:rsidR="005D62D8" w:rsidRDefault="005D62D8" w:rsidP="00184B0A">
            <w:pPr>
              <w:spacing w:line="259" w:lineRule="auto"/>
              <w:ind w:left="4"/>
            </w:pPr>
            <w:r>
              <w:t xml:space="preserve">11 </w:t>
            </w:r>
          </w:p>
        </w:tc>
        <w:tc>
          <w:tcPr>
            <w:tcW w:w="8191" w:type="dxa"/>
            <w:tcBorders>
              <w:top w:val="single" w:sz="4" w:space="0" w:color="000000"/>
              <w:left w:val="single" w:sz="4" w:space="0" w:color="000000"/>
              <w:bottom w:val="single" w:sz="4" w:space="0" w:color="000000"/>
              <w:right w:val="single" w:sz="4" w:space="0" w:color="000000"/>
            </w:tcBorders>
          </w:tcPr>
          <w:p w14:paraId="2D8FDEAE" w14:textId="77777777" w:rsidR="005D62D8" w:rsidRDefault="005D62D8" w:rsidP="00184B0A">
            <w:pPr>
              <w:spacing w:line="259" w:lineRule="auto"/>
            </w:pPr>
            <w:r>
              <w:t xml:space="preserve">Deployment Management </w:t>
            </w:r>
          </w:p>
        </w:tc>
      </w:tr>
      <w:tr w:rsidR="005D62D8" w14:paraId="3AF0D636"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59FD9C47" w14:textId="77777777" w:rsidR="005D62D8" w:rsidRDefault="005D62D8" w:rsidP="00184B0A">
            <w:pPr>
              <w:spacing w:line="259" w:lineRule="auto"/>
              <w:ind w:left="4"/>
            </w:pPr>
            <w:r>
              <w:t xml:space="preserve">12 </w:t>
            </w:r>
          </w:p>
        </w:tc>
        <w:tc>
          <w:tcPr>
            <w:tcW w:w="8191" w:type="dxa"/>
            <w:tcBorders>
              <w:top w:val="single" w:sz="4" w:space="0" w:color="000000"/>
              <w:left w:val="single" w:sz="4" w:space="0" w:color="000000"/>
              <w:bottom w:val="single" w:sz="4" w:space="0" w:color="000000"/>
              <w:right w:val="single" w:sz="4" w:space="0" w:color="000000"/>
            </w:tcBorders>
          </w:tcPr>
          <w:p w14:paraId="71614068" w14:textId="77777777" w:rsidR="005D62D8" w:rsidRDefault="005D62D8" w:rsidP="00184B0A">
            <w:pPr>
              <w:spacing w:line="259" w:lineRule="auto"/>
            </w:pPr>
            <w:r>
              <w:t xml:space="preserve">Testing &amp; Validation </w:t>
            </w:r>
          </w:p>
        </w:tc>
      </w:tr>
      <w:tr w:rsidR="005D62D8" w14:paraId="39340DEA"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445695FB" w14:textId="77777777" w:rsidR="005D62D8" w:rsidRDefault="005D62D8" w:rsidP="00184B0A">
            <w:pPr>
              <w:spacing w:line="259" w:lineRule="auto"/>
              <w:ind w:left="4"/>
            </w:pPr>
            <w:r>
              <w:t xml:space="preserve">13 </w:t>
            </w:r>
          </w:p>
        </w:tc>
        <w:tc>
          <w:tcPr>
            <w:tcW w:w="8191" w:type="dxa"/>
            <w:tcBorders>
              <w:top w:val="single" w:sz="4" w:space="0" w:color="000000"/>
              <w:left w:val="single" w:sz="4" w:space="0" w:color="000000"/>
              <w:bottom w:val="single" w:sz="4" w:space="0" w:color="000000"/>
              <w:right w:val="single" w:sz="4" w:space="0" w:color="000000"/>
            </w:tcBorders>
          </w:tcPr>
          <w:p w14:paraId="48C49925" w14:textId="77777777" w:rsidR="005D62D8" w:rsidRDefault="005D62D8" w:rsidP="00184B0A">
            <w:pPr>
              <w:spacing w:line="259" w:lineRule="auto"/>
            </w:pPr>
            <w:r>
              <w:t xml:space="preserve">Release Management </w:t>
            </w:r>
          </w:p>
        </w:tc>
      </w:tr>
      <w:tr w:rsidR="005D62D8" w14:paraId="192B7422"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1D068BF2" w14:textId="77777777" w:rsidR="005D62D8" w:rsidRDefault="005D62D8" w:rsidP="00184B0A">
            <w:pPr>
              <w:spacing w:line="259" w:lineRule="auto"/>
              <w:ind w:left="4"/>
            </w:pPr>
            <w:r>
              <w:t xml:space="preserve">14 </w:t>
            </w:r>
          </w:p>
        </w:tc>
        <w:tc>
          <w:tcPr>
            <w:tcW w:w="8191" w:type="dxa"/>
            <w:tcBorders>
              <w:top w:val="single" w:sz="4" w:space="0" w:color="000000"/>
              <w:left w:val="single" w:sz="4" w:space="0" w:color="000000"/>
              <w:bottom w:val="single" w:sz="4" w:space="0" w:color="000000"/>
              <w:right w:val="single" w:sz="4" w:space="0" w:color="000000"/>
            </w:tcBorders>
          </w:tcPr>
          <w:p w14:paraId="1F3396C3" w14:textId="77777777" w:rsidR="005D62D8" w:rsidRDefault="005D62D8" w:rsidP="00184B0A">
            <w:pPr>
              <w:spacing w:line="259" w:lineRule="auto"/>
            </w:pPr>
            <w:r>
              <w:t xml:space="preserve">Contracted Services </w:t>
            </w:r>
          </w:p>
        </w:tc>
      </w:tr>
      <w:tr w:rsidR="005D62D8" w14:paraId="5BE5A1BE"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33130628" w14:textId="77777777" w:rsidR="005D62D8" w:rsidRDefault="005D62D8" w:rsidP="00184B0A">
            <w:pPr>
              <w:spacing w:line="259" w:lineRule="auto"/>
              <w:ind w:left="4"/>
            </w:pPr>
            <w:r>
              <w:t xml:space="preserve">15 </w:t>
            </w:r>
          </w:p>
        </w:tc>
        <w:tc>
          <w:tcPr>
            <w:tcW w:w="8191" w:type="dxa"/>
            <w:tcBorders>
              <w:top w:val="single" w:sz="4" w:space="0" w:color="000000"/>
              <w:left w:val="single" w:sz="4" w:space="0" w:color="000000"/>
              <w:bottom w:val="single" w:sz="4" w:space="0" w:color="000000"/>
              <w:right w:val="single" w:sz="4" w:space="0" w:color="000000"/>
            </w:tcBorders>
          </w:tcPr>
          <w:p w14:paraId="7BE00325" w14:textId="77777777" w:rsidR="005D62D8" w:rsidRDefault="005D62D8" w:rsidP="00184B0A">
            <w:pPr>
              <w:spacing w:line="259" w:lineRule="auto"/>
            </w:pPr>
            <w:r>
              <w:t xml:space="preserve">Management of MSPs and MSSPs  </w:t>
            </w:r>
          </w:p>
        </w:tc>
      </w:tr>
      <w:tr w:rsidR="005D62D8" w14:paraId="196BF848"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137AE73E" w14:textId="77777777" w:rsidR="005D62D8" w:rsidRDefault="005D62D8" w:rsidP="00184B0A">
            <w:pPr>
              <w:spacing w:line="259" w:lineRule="auto"/>
              <w:ind w:left="4"/>
            </w:pPr>
            <w:r>
              <w:t xml:space="preserve">16 </w:t>
            </w:r>
          </w:p>
        </w:tc>
        <w:tc>
          <w:tcPr>
            <w:tcW w:w="8191" w:type="dxa"/>
            <w:tcBorders>
              <w:top w:val="single" w:sz="4" w:space="0" w:color="000000"/>
              <w:left w:val="single" w:sz="4" w:space="0" w:color="000000"/>
              <w:bottom w:val="single" w:sz="4" w:space="0" w:color="000000"/>
              <w:right w:val="single" w:sz="4" w:space="0" w:color="000000"/>
            </w:tcBorders>
          </w:tcPr>
          <w:p w14:paraId="6D05FA9B" w14:textId="77777777" w:rsidR="005D62D8" w:rsidRDefault="005D62D8" w:rsidP="00184B0A">
            <w:pPr>
              <w:spacing w:line="259" w:lineRule="auto"/>
            </w:pPr>
            <w:r>
              <w:t xml:space="preserve">Cloud Services Security </w:t>
            </w:r>
          </w:p>
        </w:tc>
      </w:tr>
      <w:tr w:rsidR="005D62D8" w14:paraId="26D2A54E"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5E20B241" w14:textId="77777777" w:rsidR="005D62D8" w:rsidRDefault="005D62D8" w:rsidP="00184B0A">
            <w:pPr>
              <w:spacing w:line="259" w:lineRule="auto"/>
              <w:ind w:left="4"/>
            </w:pPr>
            <w:r>
              <w:t xml:space="preserve">17 </w:t>
            </w:r>
          </w:p>
        </w:tc>
        <w:tc>
          <w:tcPr>
            <w:tcW w:w="8191" w:type="dxa"/>
            <w:tcBorders>
              <w:top w:val="single" w:sz="4" w:space="0" w:color="000000"/>
              <w:left w:val="single" w:sz="4" w:space="0" w:color="000000"/>
              <w:bottom w:val="single" w:sz="4" w:space="0" w:color="000000"/>
              <w:right w:val="single" w:sz="4" w:space="0" w:color="000000"/>
            </w:tcBorders>
          </w:tcPr>
          <w:p w14:paraId="2763481F" w14:textId="77777777" w:rsidR="005D62D8" w:rsidRDefault="005D62D8" w:rsidP="00184B0A">
            <w:pPr>
              <w:spacing w:line="259" w:lineRule="auto"/>
            </w:pPr>
            <w:r>
              <w:t xml:space="preserve">Remote Support Services Security </w:t>
            </w:r>
          </w:p>
        </w:tc>
      </w:tr>
      <w:tr w:rsidR="005D62D8" w14:paraId="4E1D4A51"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7A1C6538" w14:textId="77777777" w:rsidR="005D62D8" w:rsidRDefault="005D62D8" w:rsidP="00184B0A">
            <w:pPr>
              <w:spacing w:line="259" w:lineRule="auto"/>
              <w:ind w:left="4"/>
            </w:pPr>
            <w:r>
              <w:t xml:space="preserve">18 </w:t>
            </w:r>
          </w:p>
        </w:tc>
        <w:tc>
          <w:tcPr>
            <w:tcW w:w="8191" w:type="dxa"/>
            <w:tcBorders>
              <w:top w:val="single" w:sz="4" w:space="0" w:color="000000"/>
              <w:left w:val="single" w:sz="4" w:space="0" w:color="000000"/>
              <w:bottom w:val="single" w:sz="4" w:space="0" w:color="000000"/>
              <w:right w:val="single" w:sz="4" w:space="0" w:color="000000"/>
            </w:tcBorders>
          </w:tcPr>
          <w:p w14:paraId="2E6404EA" w14:textId="77777777" w:rsidR="005D62D8" w:rsidRDefault="005D62D8" w:rsidP="00184B0A">
            <w:pPr>
              <w:spacing w:line="259" w:lineRule="auto"/>
            </w:pPr>
            <w:r>
              <w:t xml:space="preserve">Service Level Agreements </w:t>
            </w:r>
          </w:p>
        </w:tc>
      </w:tr>
      <w:tr w:rsidR="005D62D8" w14:paraId="2006C648"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54B8DFF0" w14:textId="77777777" w:rsidR="005D62D8" w:rsidRDefault="005D62D8" w:rsidP="00184B0A">
            <w:pPr>
              <w:spacing w:line="259" w:lineRule="auto"/>
              <w:ind w:left="4"/>
            </w:pPr>
            <w:r>
              <w:t xml:space="preserve">19 </w:t>
            </w:r>
          </w:p>
        </w:tc>
        <w:tc>
          <w:tcPr>
            <w:tcW w:w="8191" w:type="dxa"/>
            <w:tcBorders>
              <w:top w:val="single" w:sz="4" w:space="0" w:color="000000"/>
              <w:left w:val="single" w:sz="4" w:space="0" w:color="000000"/>
              <w:bottom w:val="single" w:sz="4" w:space="0" w:color="000000"/>
              <w:right w:val="single" w:sz="4" w:space="0" w:color="000000"/>
            </w:tcBorders>
          </w:tcPr>
          <w:p w14:paraId="5373E436" w14:textId="77777777" w:rsidR="005D62D8" w:rsidRDefault="005D62D8" w:rsidP="00184B0A">
            <w:pPr>
              <w:spacing w:line="259" w:lineRule="auto"/>
            </w:pPr>
            <w:r>
              <w:t xml:space="preserve">Asset Lifecycle and Inventory Management </w:t>
            </w:r>
          </w:p>
        </w:tc>
      </w:tr>
      <w:tr w:rsidR="005D62D8" w14:paraId="2048F11E"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3EF189C1" w14:textId="77777777" w:rsidR="005D62D8" w:rsidRDefault="005D62D8" w:rsidP="00184B0A">
            <w:pPr>
              <w:spacing w:line="259" w:lineRule="auto"/>
              <w:ind w:left="4"/>
            </w:pPr>
            <w:r>
              <w:t xml:space="preserve">20 </w:t>
            </w:r>
          </w:p>
        </w:tc>
        <w:tc>
          <w:tcPr>
            <w:tcW w:w="8191" w:type="dxa"/>
            <w:tcBorders>
              <w:top w:val="single" w:sz="4" w:space="0" w:color="000000"/>
              <w:left w:val="single" w:sz="4" w:space="0" w:color="000000"/>
              <w:bottom w:val="single" w:sz="4" w:space="0" w:color="000000"/>
              <w:right w:val="single" w:sz="4" w:space="0" w:color="000000"/>
            </w:tcBorders>
          </w:tcPr>
          <w:p w14:paraId="533E8389" w14:textId="77777777" w:rsidR="005D62D8" w:rsidRDefault="005D62D8" w:rsidP="00184B0A">
            <w:pPr>
              <w:spacing w:line="259" w:lineRule="auto"/>
            </w:pPr>
            <w:r>
              <w:t xml:space="preserve">Identity Lifecycle Management </w:t>
            </w:r>
          </w:p>
        </w:tc>
      </w:tr>
      <w:tr w:rsidR="005D62D8" w14:paraId="6898A25E"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2956D747" w14:textId="77777777" w:rsidR="005D62D8" w:rsidRDefault="005D62D8" w:rsidP="00184B0A">
            <w:pPr>
              <w:spacing w:line="259" w:lineRule="auto"/>
              <w:ind w:left="4"/>
            </w:pPr>
            <w:r>
              <w:t xml:space="preserve">21 </w:t>
            </w:r>
          </w:p>
        </w:tc>
        <w:tc>
          <w:tcPr>
            <w:tcW w:w="8191" w:type="dxa"/>
            <w:tcBorders>
              <w:top w:val="single" w:sz="4" w:space="0" w:color="000000"/>
              <w:left w:val="single" w:sz="4" w:space="0" w:color="000000"/>
              <w:bottom w:val="single" w:sz="4" w:space="0" w:color="000000"/>
              <w:right w:val="single" w:sz="4" w:space="0" w:color="000000"/>
            </w:tcBorders>
          </w:tcPr>
          <w:p w14:paraId="038D8E4C" w14:textId="77777777" w:rsidR="005D62D8" w:rsidRDefault="005D62D8" w:rsidP="00184B0A">
            <w:pPr>
              <w:spacing w:line="259" w:lineRule="auto"/>
            </w:pPr>
            <w:r>
              <w:t xml:space="preserve">Information and Data Lifecycle Management </w:t>
            </w:r>
          </w:p>
        </w:tc>
      </w:tr>
      <w:tr w:rsidR="005D62D8" w14:paraId="01E3000A"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4299E928" w14:textId="77777777" w:rsidR="005D62D8" w:rsidRDefault="005D62D8" w:rsidP="00184B0A">
            <w:pPr>
              <w:spacing w:line="259" w:lineRule="auto"/>
              <w:ind w:left="4"/>
            </w:pPr>
            <w:r>
              <w:t xml:space="preserve">22 </w:t>
            </w:r>
          </w:p>
        </w:tc>
        <w:tc>
          <w:tcPr>
            <w:tcW w:w="8191" w:type="dxa"/>
            <w:tcBorders>
              <w:top w:val="single" w:sz="4" w:space="0" w:color="000000"/>
              <w:left w:val="single" w:sz="4" w:space="0" w:color="000000"/>
              <w:bottom w:val="single" w:sz="4" w:space="0" w:color="000000"/>
              <w:right w:val="single" w:sz="4" w:space="0" w:color="000000"/>
            </w:tcBorders>
          </w:tcPr>
          <w:p w14:paraId="25928AC9" w14:textId="77777777" w:rsidR="005D62D8" w:rsidRDefault="005D62D8" w:rsidP="00184B0A">
            <w:pPr>
              <w:spacing w:line="259" w:lineRule="auto"/>
            </w:pPr>
            <w:r>
              <w:t xml:space="preserve">Configuration Management </w:t>
            </w:r>
          </w:p>
        </w:tc>
      </w:tr>
      <w:tr w:rsidR="005D62D8" w14:paraId="23349050"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7C8529E4" w14:textId="77777777" w:rsidR="005D62D8" w:rsidRDefault="005D62D8" w:rsidP="00184B0A">
            <w:pPr>
              <w:spacing w:line="259" w:lineRule="auto"/>
              <w:ind w:left="4"/>
            </w:pPr>
            <w:r>
              <w:t xml:space="preserve">23 </w:t>
            </w:r>
          </w:p>
        </w:tc>
        <w:tc>
          <w:tcPr>
            <w:tcW w:w="8191" w:type="dxa"/>
            <w:tcBorders>
              <w:top w:val="single" w:sz="4" w:space="0" w:color="000000"/>
              <w:left w:val="single" w:sz="4" w:space="0" w:color="000000"/>
              <w:bottom w:val="single" w:sz="4" w:space="0" w:color="000000"/>
              <w:right w:val="single" w:sz="4" w:space="0" w:color="000000"/>
            </w:tcBorders>
          </w:tcPr>
          <w:p w14:paraId="1BA4FAC1" w14:textId="77777777" w:rsidR="005D62D8" w:rsidRDefault="005D62D8" w:rsidP="00184B0A">
            <w:pPr>
              <w:spacing w:line="259" w:lineRule="auto"/>
            </w:pPr>
            <w:r>
              <w:t xml:space="preserve">Change Management </w:t>
            </w:r>
          </w:p>
        </w:tc>
      </w:tr>
      <w:tr w:rsidR="005D62D8" w14:paraId="7A9EDEAE"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32910A81" w14:textId="77777777" w:rsidR="005D62D8" w:rsidRDefault="005D62D8" w:rsidP="00184B0A">
            <w:pPr>
              <w:spacing w:line="259" w:lineRule="auto"/>
              <w:ind w:left="4"/>
            </w:pPr>
            <w:r>
              <w:t xml:space="preserve">24 </w:t>
            </w:r>
          </w:p>
        </w:tc>
        <w:tc>
          <w:tcPr>
            <w:tcW w:w="8191" w:type="dxa"/>
            <w:tcBorders>
              <w:top w:val="single" w:sz="4" w:space="0" w:color="000000"/>
              <w:left w:val="single" w:sz="4" w:space="0" w:color="000000"/>
              <w:bottom w:val="single" w:sz="4" w:space="0" w:color="000000"/>
              <w:right w:val="single" w:sz="4" w:space="0" w:color="000000"/>
            </w:tcBorders>
          </w:tcPr>
          <w:p w14:paraId="014CCE9C" w14:textId="77777777" w:rsidR="005D62D8" w:rsidRDefault="005D62D8" w:rsidP="00184B0A">
            <w:pPr>
              <w:spacing w:line="259" w:lineRule="auto"/>
            </w:pPr>
            <w:r>
              <w:t xml:space="preserve">Patch Management </w:t>
            </w:r>
          </w:p>
        </w:tc>
      </w:tr>
      <w:tr w:rsidR="005D62D8" w14:paraId="30A91B46"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3BD1B944" w14:textId="77777777" w:rsidR="005D62D8" w:rsidRDefault="005D62D8" w:rsidP="00184B0A">
            <w:pPr>
              <w:spacing w:line="259" w:lineRule="auto"/>
              <w:ind w:left="4"/>
            </w:pPr>
            <w:r>
              <w:t xml:space="preserve">25 </w:t>
            </w:r>
          </w:p>
        </w:tc>
        <w:tc>
          <w:tcPr>
            <w:tcW w:w="8191" w:type="dxa"/>
            <w:tcBorders>
              <w:top w:val="single" w:sz="4" w:space="0" w:color="000000"/>
              <w:left w:val="single" w:sz="4" w:space="0" w:color="000000"/>
              <w:bottom w:val="single" w:sz="4" w:space="0" w:color="000000"/>
              <w:right w:val="single" w:sz="4" w:space="0" w:color="000000"/>
            </w:tcBorders>
          </w:tcPr>
          <w:p w14:paraId="77BD350D" w14:textId="77777777" w:rsidR="005D62D8" w:rsidRDefault="005D62D8" w:rsidP="00184B0A">
            <w:pPr>
              <w:spacing w:line="259" w:lineRule="auto"/>
            </w:pPr>
            <w:r>
              <w:t xml:space="preserve">Vulnerability Management  </w:t>
            </w:r>
          </w:p>
        </w:tc>
      </w:tr>
      <w:tr w:rsidR="005D62D8" w14:paraId="01DD284E"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62882777" w14:textId="77777777" w:rsidR="005D62D8" w:rsidRDefault="005D62D8" w:rsidP="00184B0A">
            <w:pPr>
              <w:spacing w:line="259" w:lineRule="auto"/>
              <w:ind w:left="4"/>
            </w:pPr>
            <w:r>
              <w:t xml:space="preserve">26 </w:t>
            </w:r>
          </w:p>
        </w:tc>
        <w:tc>
          <w:tcPr>
            <w:tcW w:w="8191" w:type="dxa"/>
            <w:tcBorders>
              <w:top w:val="single" w:sz="4" w:space="0" w:color="000000"/>
              <w:left w:val="single" w:sz="4" w:space="0" w:color="000000"/>
              <w:bottom w:val="single" w:sz="4" w:space="0" w:color="000000"/>
              <w:right w:val="single" w:sz="4" w:space="0" w:color="000000"/>
            </w:tcBorders>
          </w:tcPr>
          <w:p w14:paraId="1C5EF4AC" w14:textId="77777777" w:rsidR="005D62D8" w:rsidRDefault="005D62D8" w:rsidP="00184B0A">
            <w:pPr>
              <w:spacing w:line="259" w:lineRule="auto"/>
            </w:pPr>
            <w:r>
              <w:t xml:space="preserve">Penetration Testing </w:t>
            </w:r>
          </w:p>
        </w:tc>
      </w:tr>
      <w:tr w:rsidR="005D62D8" w14:paraId="1FCC5464"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1C5FE632" w14:textId="77777777" w:rsidR="005D62D8" w:rsidRDefault="005D62D8" w:rsidP="00184B0A">
            <w:pPr>
              <w:spacing w:line="259" w:lineRule="auto"/>
              <w:ind w:left="4"/>
            </w:pPr>
            <w:r>
              <w:t xml:space="preserve">27 </w:t>
            </w:r>
          </w:p>
        </w:tc>
        <w:tc>
          <w:tcPr>
            <w:tcW w:w="8191" w:type="dxa"/>
            <w:tcBorders>
              <w:top w:val="single" w:sz="4" w:space="0" w:color="000000"/>
              <w:left w:val="single" w:sz="4" w:space="0" w:color="000000"/>
              <w:bottom w:val="single" w:sz="4" w:space="0" w:color="000000"/>
              <w:right w:val="single" w:sz="4" w:space="0" w:color="000000"/>
            </w:tcBorders>
          </w:tcPr>
          <w:p w14:paraId="260EC5F0" w14:textId="77777777" w:rsidR="005D62D8" w:rsidRDefault="005D62D8" w:rsidP="00184B0A">
            <w:pPr>
              <w:spacing w:line="259" w:lineRule="auto"/>
            </w:pPr>
            <w:r>
              <w:t xml:space="preserve">Backup Management </w:t>
            </w:r>
          </w:p>
        </w:tc>
      </w:tr>
      <w:tr w:rsidR="005D62D8" w14:paraId="694498E8"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7CCE4FC0" w14:textId="77777777" w:rsidR="005D62D8" w:rsidRDefault="005D62D8" w:rsidP="00184B0A">
            <w:pPr>
              <w:spacing w:line="259" w:lineRule="auto"/>
              <w:ind w:left="4"/>
            </w:pPr>
            <w:r>
              <w:t xml:space="preserve">28 </w:t>
            </w:r>
          </w:p>
        </w:tc>
        <w:tc>
          <w:tcPr>
            <w:tcW w:w="8191" w:type="dxa"/>
            <w:tcBorders>
              <w:top w:val="single" w:sz="4" w:space="0" w:color="000000"/>
              <w:left w:val="single" w:sz="4" w:space="0" w:color="000000"/>
              <w:bottom w:val="single" w:sz="4" w:space="0" w:color="000000"/>
              <w:right w:val="single" w:sz="4" w:space="0" w:color="000000"/>
            </w:tcBorders>
          </w:tcPr>
          <w:p w14:paraId="11D66746" w14:textId="77777777" w:rsidR="005D62D8" w:rsidRDefault="005D62D8" w:rsidP="00184B0A">
            <w:pPr>
              <w:spacing w:line="259" w:lineRule="auto"/>
            </w:pPr>
            <w:r>
              <w:t xml:space="preserve">Access Management </w:t>
            </w:r>
          </w:p>
        </w:tc>
      </w:tr>
      <w:tr w:rsidR="005D62D8" w14:paraId="5A9CFF05"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07AAEA21" w14:textId="77777777" w:rsidR="005D62D8" w:rsidRDefault="005D62D8" w:rsidP="00184B0A">
            <w:pPr>
              <w:spacing w:line="259" w:lineRule="auto"/>
              <w:ind w:left="4"/>
            </w:pPr>
            <w:r>
              <w:t xml:space="preserve">29 </w:t>
            </w:r>
          </w:p>
        </w:tc>
        <w:tc>
          <w:tcPr>
            <w:tcW w:w="8191" w:type="dxa"/>
            <w:tcBorders>
              <w:top w:val="single" w:sz="4" w:space="0" w:color="000000"/>
              <w:left w:val="single" w:sz="4" w:space="0" w:color="000000"/>
              <w:bottom w:val="single" w:sz="4" w:space="0" w:color="000000"/>
              <w:right w:val="single" w:sz="4" w:space="0" w:color="000000"/>
            </w:tcBorders>
          </w:tcPr>
          <w:p w14:paraId="42E4B267" w14:textId="77777777" w:rsidR="005D62D8" w:rsidRDefault="005D62D8" w:rsidP="00184B0A">
            <w:pPr>
              <w:spacing w:line="259" w:lineRule="auto"/>
            </w:pPr>
            <w:r>
              <w:t xml:space="preserve">Privileged Access Management </w:t>
            </w:r>
          </w:p>
        </w:tc>
      </w:tr>
      <w:tr w:rsidR="005D62D8" w14:paraId="567CBBB9"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53F04858" w14:textId="77777777" w:rsidR="005D62D8" w:rsidRDefault="005D62D8" w:rsidP="00184B0A">
            <w:pPr>
              <w:spacing w:line="259" w:lineRule="auto"/>
              <w:ind w:left="4"/>
            </w:pPr>
            <w:r>
              <w:t xml:space="preserve">30 </w:t>
            </w:r>
          </w:p>
        </w:tc>
        <w:tc>
          <w:tcPr>
            <w:tcW w:w="8191" w:type="dxa"/>
            <w:tcBorders>
              <w:top w:val="single" w:sz="4" w:space="0" w:color="000000"/>
              <w:left w:val="single" w:sz="4" w:space="0" w:color="000000"/>
              <w:bottom w:val="single" w:sz="4" w:space="0" w:color="000000"/>
              <w:right w:val="single" w:sz="4" w:space="0" w:color="000000"/>
            </w:tcBorders>
          </w:tcPr>
          <w:p w14:paraId="44143687" w14:textId="77777777" w:rsidR="005D62D8" w:rsidRDefault="005D62D8" w:rsidP="00184B0A">
            <w:pPr>
              <w:spacing w:line="259" w:lineRule="auto"/>
            </w:pPr>
            <w:r>
              <w:t xml:space="preserve">Remote Access Security Management </w:t>
            </w:r>
          </w:p>
        </w:tc>
      </w:tr>
      <w:tr w:rsidR="005D62D8" w14:paraId="7FD041F0"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0A3A8A84" w14:textId="77777777" w:rsidR="005D62D8" w:rsidRDefault="005D62D8" w:rsidP="00184B0A">
            <w:pPr>
              <w:spacing w:line="259" w:lineRule="auto"/>
              <w:ind w:left="4"/>
            </w:pPr>
            <w:r>
              <w:t xml:space="preserve">31 </w:t>
            </w:r>
          </w:p>
        </w:tc>
        <w:tc>
          <w:tcPr>
            <w:tcW w:w="8191" w:type="dxa"/>
            <w:tcBorders>
              <w:top w:val="single" w:sz="4" w:space="0" w:color="000000"/>
              <w:left w:val="single" w:sz="4" w:space="0" w:color="000000"/>
              <w:bottom w:val="single" w:sz="4" w:space="0" w:color="000000"/>
              <w:right w:val="single" w:sz="4" w:space="0" w:color="000000"/>
            </w:tcBorders>
          </w:tcPr>
          <w:p w14:paraId="02E0A96C" w14:textId="77777777" w:rsidR="005D62D8" w:rsidRDefault="005D62D8" w:rsidP="00184B0A">
            <w:pPr>
              <w:spacing w:line="259" w:lineRule="auto"/>
            </w:pPr>
            <w:r>
              <w:t xml:space="preserve">BYOD Security Management </w:t>
            </w:r>
          </w:p>
        </w:tc>
      </w:tr>
      <w:tr w:rsidR="005D62D8" w14:paraId="35C52AEA"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737E8CBF" w14:textId="77777777" w:rsidR="005D62D8" w:rsidRDefault="005D62D8" w:rsidP="00184B0A">
            <w:pPr>
              <w:spacing w:line="259" w:lineRule="auto"/>
              <w:ind w:left="4"/>
            </w:pPr>
            <w:r>
              <w:t xml:space="preserve">32 </w:t>
            </w:r>
          </w:p>
        </w:tc>
        <w:tc>
          <w:tcPr>
            <w:tcW w:w="8191" w:type="dxa"/>
            <w:tcBorders>
              <w:top w:val="single" w:sz="4" w:space="0" w:color="000000"/>
              <w:left w:val="single" w:sz="4" w:space="0" w:color="000000"/>
              <w:bottom w:val="single" w:sz="4" w:space="0" w:color="000000"/>
              <w:right w:val="single" w:sz="4" w:space="0" w:color="000000"/>
            </w:tcBorders>
          </w:tcPr>
          <w:p w14:paraId="58EA7631" w14:textId="77777777" w:rsidR="005D62D8" w:rsidRDefault="005D62D8" w:rsidP="00184B0A">
            <w:pPr>
              <w:spacing w:line="259" w:lineRule="auto"/>
            </w:pPr>
            <w:r>
              <w:t xml:space="preserve">Network Security Management  </w:t>
            </w:r>
          </w:p>
        </w:tc>
      </w:tr>
      <w:tr w:rsidR="005D62D8" w14:paraId="1BECB39D"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680C292C" w14:textId="77777777" w:rsidR="005D62D8" w:rsidRDefault="005D62D8" w:rsidP="00184B0A">
            <w:pPr>
              <w:spacing w:line="259" w:lineRule="auto"/>
              <w:ind w:left="4"/>
            </w:pPr>
            <w:r>
              <w:t xml:space="preserve">33 </w:t>
            </w:r>
          </w:p>
        </w:tc>
        <w:tc>
          <w:tcPr>
            <w:tcW w:w="8191" w:type="dxa"/>
            <w:tcBorders>
              <w:top w:val="single" w:sz="4" w:space="0" w:color="000000"/>
              <w:left w:val="single" w:sz="4" w:space="0" w:color="000000"/>
              <w:bottom w:val="single" w:sz="4" w:space="0" w:color="000000"/>
              <w:right w:val="single" w:sz="4" w:space="0" w:color="000000"/>
            </w:tcBorders>
          </w:tcPr>
          <w:p w14:paraId="359478D8" w14:textId="77777777" w:rsidR="005D62D8" w:rsidRDefault="005D62D8" w:rsidP="00184B0A">
            <w:pPr>
              <w:spacing w:line="259" w:lineRule="auto"/>
            </w:pPr>
            <w:proofErr w:type="spellStart"/>
            <w:r>
              <w:t>Virtualisation</w:t>
            </w:r>
            <w:proofErr w:type="spellEnd"/>
            <w:r>
              <w:t xml:space="preserve"> Security  </w:t>
            </w:r>
          </w:p>
        </w:tc>
      </w:tr>
      <w:tr w:rsidR="005D62D8" w14:paraId="5A7C077B"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62B349E7" w14:textId="77777777" w:rsidR="005D62D8" w:rsidRDefault="005D62D8" w:rsidP="00184B0A">
            <w:pPr>
              <w:spacing w:line="259" w:lineRule="auto"/>
              <w:ind w:left="4"/>
            </w:pPr>
            <w:r>
              <w:t xml:space="preserve">34 </w:t>
            </w:r>
          </w:p>
        </w:tc>
        <w:tc>
          <w:tcPr>
            <w:tcW w:w="8191" w:type="dxa"/>
            <w:tcBorders>
              <w:top w:val="single" w:sz="4" w:space="0" w:color="000000"/>
              <w:left w:val="single" w:sz="4" w:space="0" w:color="000000"/>
              <w:bottom w:val="single" w:sz="4" w:space="0" w:color="000000"/>
              <w:right w:val="single" w:sz="4" w:space="0" w:color="000000"/>
            </w:tcBorders>
          </w:tcPr>
          <w:p w14:paraId="132701C8" w14:textId="77777777" w:rsidR="005D62D8" w:rsidRDefault="005D62D8" w:rsidP="00184B0A">
            <w:pPr>
              <w:spacing w:line="259" w:lineRule="auto"/>
            </w:pPr>
            <w:r>
              <w:t xml:space="preserve">Infrastructure Security /Data Centre Security / Resilience   </w:t>
            </w:r>
          </w:p>
        </w:tc>
      </w:tr>
      <w:tr w:rsidR="005D62D8" w14:paraId="583314CD"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6337F1DE" w14:textId="77777777" w:rsidR="005D62D8" w:rsidRDefault="005D62D8" w:rsidP="00184B0A">
            <w:pPr>
              <w:spacing w:line="259" w:lineRule="auto"/>
              <w:ind w:left="4"/>
            </w:pPr>
            <w:r>
              <w:t xml:space="preserve">35 </w:t>
            </w:r>
          </w:p>
        </w:tc>
        <w:tc>
          <w:tcPr>
            <w:tcW w:w="8191" w:type="dxa"/>
            <w:tcBorders>
              <w:top w:val="single" w:sz="4" w:space="0" w:color="000000"/>
              <w:left w:val="single" w:sz="4" w:space="0" w:color="000000"/>
              <w:bottom w:val="single" w:sz="4" w:space="0" w:color="000000"/>
              <w:right w:val="single" w:sz="4" w:space="0" w:color="000000"/>
            </w:tcBorders>
          </w:tcPr>
          <w:p w14:paraId="7446B8F9" w14:textId="77777777" w:rsidR="005D62D8" w:rsidRDefault="005D62D8" w:rsidP="00184B0A">
            <w:pPr>
              <w:spacing w:line="259" w:lineRule="auto"/>
            </w:pPr>
            <w:r>
              <w:t xml:space="preserve">Mobile Device and Mobile Application Security  </w:t>
            </w:r>
          </w:p>
        </w:tc>
      </w:tr>
      <w:tr w:rsidR="005D62D8" w14:paraId="68C9DCF2"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3AB1EF7D" w14:textId="77777777" w:rsidR="005D62D8" w:rsidRDefault="005D62D8" w:rsidP="00184B0A">
            <w:pPr>
              <w:spacing w:line="259" w:lineRule="auto"/>
              <w:ind w:left="4"/>
            </w:pPr>
            <w:r>
              <w:t xml:space="preserve">36 </w:t>
            </w:r>
          </w:p>
        </w:tc>
        <w:tc>
          <w:tcPr>
            <w:tcW w:w="8191" w:type="dxa"/>
            <w:tcBorders>
              <w:top w:val="single" w:sz="4" w:space="0" w:color="000000"/>
              <w:left w:val="single" w:sz="4" w:space="0" w:color="000000"/>
              <w:bottom w:val="single" w:sz="4" w:space="0" w:color="000000"/>
              <w:right w:val="single" w:sz="4" w:space="0" w:color="000000"/>
            </w:tcBorders>
          </w:tcPr>
          <w:p w14:paraId="573D6148" w14:textId="77777777" w:rsidR="005D62D8" w:rsidRDefault="005D62D8" w:rsidP="00184B0A">
            <w:pPr>
              <w:spacing w:line="259" w:lineRule="auto"/>
            </w:pPr>
            <w:r>
              <w:t xml:space="preserve">Physical Security Management </w:t>
            </w:r>
          </w:p>
        </w:tc>
      </w:tr>
      <w:tr w:rsidR="005D62D8" w14:paraId="4DF9EDA1"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232E2F4B" w14:textId="77777777" w:rsidR="005D62D8" w:rsidRDefault="005D62D8" w:rsidP="00184B0A">
            <w:pPr>
              <w:spacing w:line="259" w:lineRule="auto"/>
              <w:ind w:left="4"/>
            </w:pPr>
            <w:r>
              <w:t xml:space="preserve">37 </w:t>
            </w:r>
          </w:p>
        </w:tc>
        <w:tc>
          <w:tcPr>
            <w:tcW w:w="8191" w:type="dxa"/>
            <w:tcBorders>
              <w:top w:val="single" w:sz="4" w:space="0" w:color="000000"/>
              <w:left w:val="single" w:sz="4" w:space="0" w:color="000000"/>
              <w:bottom w:val="single" w:sz="4" w:space="0" w:color="000000"/>
              <w:right w:val="single" w:sz="4" w:space="0" w:color="000000"/>
            </w:tcBorders>
          </w:tcPr>
          <w:p w14:paraId="3DD921FE" w14:textId="77777777" w:rsidR="005D62D8" w:rsidRDefault="005D62D8" w:rsidP="00184B0A">
            <w:pPr>
              <w:spacing w:line="259" w:lineRule="auto"/>
            </w:pPr>
            <w:r>
              <w:t xml:space="preserve">Applications Security </w:t>
            </w:r>
          </w:p>
        </w:tc>
      </w:tr>
      <w:tr w:rsidR="005D62D8" w14:paraId="1073A8CF"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081E29F6" w14:textId="77777777" w:rsidR="005D62D8" w:rsidRDefault="005D62D8" w:rsidP="00184B0A">
            <w:pPr>
              <w:spacing w:line="259" w:lineRule="auto"/>
              <w:ind w:left="4"/>
            </w:pPr>
            <w:r>
              <w:t xml:space="preserve">38 </w:t>
            </w:r>
          </w:p>
        </w:tc>
        <w:tc>
          <w:tcPr>
            <w:tcW w:w="8191" w:type="dxa"/>
            <w:tcBorders>
              <w:top w:val="single" w:sz="4" w:space="0" w:color="000000"/>
              <w:left w:val="single" w:sz="4" w:space="0" w:color="000000"/>
              <w:bottom w:val="single" w:sz="4" w:space="0" w:color="000000"/>
              <w:right w:val="single" w:sz="4" w:space="0" w:color="000000"/>
            </w:tcBorders>
          </w:tcPr>
          <w:p w14:paraId="083C6823" w14:textId="77777777" w:rsidR="005D62D8" w:rsidRDefault="005D62D8" w:rsidP="00184B0A">
            <w:pPr>
              <w:spacing w:line="259" w:lineRule="auto"/>
            </w:pPr>
            <w:r>
              <w:t xml:space="preserve">Data Security - Data Leakage Prevention - Data Privacy </w:t>
            </w:r>
          </w:p>
        </w:tc>
      </w:tr>
      <w:tr w:rsidR="005D62D8" w14:paraId="57207784"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401FD97A" w14:textId="77777777" w:rsidR="005D62D8" w:rsidRDefault="005D62D8" w:rsidP="00184B0A">
            <w:pPr>
              <w:spacing w:line="259" w:lineRule="auto"/>
              <w:ind w:left="4"/>
            </w:pPr>
            <w:r>
              <w:t xml:space="preserve">39 </w:t>
            </w:r>
          </w:p>
        </w:tc>
        <w:tc>
          <w:tcPr>
            <w:tcW w:w="8191" w:type="dxa"/>
            <w:tcBorders>
              <w:top w:val="single" w:sz="4" w:space="0" w:color="000000"/>
              <w:left w:val="single" w:sz="4" w:space="0" w:color="000000"/>
              <w:bottom w:val="single" w:sz="4" w:space="0" w:color="000000"/>
              <w:right w:val="single" w:sz="4" w:space="0" w:color="000000"/>
            </w:tcBorders>
          </w:tcPr>
          <w:p w14:paraId="20E6F3B7" w14:textId="77777777" w:rsidR="005D62D8" w:rsidRDefault="005D62D8" w:rsidP="00184B0A">
            <w:pPr>
              <w:spacing w:line="259" w:lineRule="auto"/>
            </w:pPr>
            <w:r>
              <w:t xml:space="preserve">Email Security  </w:t>
            </w:r>
          </w:p>
        </w:tc>
      </w:tr>
      <w:tr w:rsidR="005D62D8" w14:paraId="0B0EE333"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1395DA19" w14:textId="77777777" w:rsidR="005D62D8" w:rsidRDefault="005D62D8" w:rsidP="00184B0A">
            <w:pPr>
              <w:spacing w:line="259" w:lineRule="auto"/>
              <w:ind w:left="4"/>
            </w:pPr>
            <w:r>
              <w:t xml:space="preserve">40 </w:t>
            </w:r>
          </w:p>
        </w:tc>
        <w:tc>
          <w:tcPr>
            <w:tcW w:w="8191" w:type="dxa"/>
            <w:tcBorders>
              <w:top w:val="single" w:sz="4" w:space="0" w:color="000000"/>
              <w:left w:val="single" w:sz="4" w:space="0" w:color="000000"/>
              <w:bottom w:val="single" w:sz="4" w:space="0" w:color="000000"/>
              <w:right w:val="single" w:sz="4" w:space="0" w:color="000000"/>
            </w:tcBorders>
          </w:tcPr>
          <w:p w14:paraId="76DCAE12" w14:textId="77777777" w:rsidR="005D62D8" w:rsidRDefault="005D62D8" w:rsidP="00184B0A">
            <w:pPr>
              <w:spacing w:line="259" w:lineRule="auto"/>
            </w:pPr>
            <w:r>
              <w:t xml:space="preserve">Application Programming Interface (API) Security  </w:t>
            </w:r>
          </w:p>
        </w:tc>
      </w:tr>
      <w:tr w:rsidR="005D62D8" w14:paraId="6A1D7232"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552EDC57" w14:textId="77777777" w:rsidR="005D62D8" w:rsidRDefault="005D62D8" w:rsidP="00184B0A">
            <w:pPr>
              <w:spacing w:line="259" w:lineRule="auto"/>
              <w:ind w:left="4"/>
            </w:pPr>
            <w:r>
              <w:t xml:space="preserve">41 </w:t>
            </w:r>
          </w:p>
        </w:tc>
        <w:tc>
          <w:tcPr>
            <w:tcW w:w="8191" w:type="dxa"/>
            <w:tcBorders>
              <w:top w:val="single" w:sz="4" w:space="0" w:color="000000"/>
              <w:left w:val="single" w:sz="4" w:space="0" w:color="000000"/>
              <w:bottom w:val="single" w:sz="4" w:space="0" w:color="000000"/>
              <w:right w:val="single" w:sz="4" w:space="0" w:color="000000"/>
            </w:tcBorders>
          </w:tcPr>
          <w:p w14:paraId="01C7D405" w14:textId="77777777" w:rsidR="005D62D8" w:rsidRDefault="005D62D8" w:rsidP="00184B0A">
            <w:pPr>
              <w:spacing w:line="259" w:lineRule="auto"/>
            </w:pPr>
            <w:r>
              <w:t xml:space="preserve">Removable Media  </w:t>
            </w:r>
          </w:p>
        </w:tc>
      </w:tr>
      <w:tr w:rsidR="005D62D8" w14:paraId="67F15292"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06B2D2B8" w14:textId="77777777" w:rsidR="005D62D8" w:rsidRDefault="005D62D8" w:rsidP="00184B0A">
            <w:pPr>
              <w:spacing w:line="259" w:lineRule="auto"/>
              <w:ind w:left="4"/>
            </w:pPr>
            <w:r>
              <w:t xml:space="preserve">42 </w:t>
            </w:r>
          </w:p>
        </w:tc>
        <w:tc>
          <w:tcPr>
            <w:tcW w:w="8191" w:type="dxa"/>
            <w:tcBorders>
              <w:top w:val="single" w:sz="4" w:space="0" w:color="000000"/>
              <w:left w:val="single" w:sz="4" w:space="0" w:color="000000"/>
              <w:bottom w:val="single" w:sz="4" w:space="0" w:color="000000"/>
              <w:right w:val="single" w:sz="4" w:space="0" w:color="000000"/>
            </w:tcBorders>
          </w:tcPr>
          <w:p w14:paraId="154A8C34" w14:textId="77777777" w:rsidR="005D62D8" w:rsidRDefault="005D62D8" w:rsidP="00184B0A">
            <w:pPr>
              <w:spacing w:line="259" w:lineRule="auto"/>
            </w:pPr>
            <w:r>
              <w:t xml:space="preserve">Cryptographic Keys Management  </w:t>
            </w:r>
          </w:p>
        </w:tc>
      </w:tr>
      <w:tr w:rsidR="005D62D8" w14:paraId="78F6DA58"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2FF9A745" w14:textId="77777777" w:rsidR="005D62D8" w:rsidRDefault="005D62D8" w:rsidP="00184B0A">
            <w:pPr>
              <w:spacing w:line="259" w:lineRule="auto"/>
              <w:ind w:left="4"/>
            </w:pPr>
            <w:r>
              <w:t xml:space="preserve">43 </w:t>
            </w:r>
          </w:p>
        </w:tc>
        <w:tc>
          <w:tcPr>
            <w:tcW w:w="8191" w:type="dxa"/>
            <w:tcBorders>
              <w:top w:val="single" w:sz="4" w:space="0" w:color="000000"/>
              <w:left w:val="single" w:sz="4" w:space="0" w:color="000000"/>
              <w:bottom w:val="single" w:sz="4" w:space="0" w:color="000000"/>
              <w:right w:val="single" w:sz="4" w:space="0" w:color="000000"/>
            </w:tcBorders>
          </w:tcPr>
          <w:p w14:paraId="1792E20D" w14:textId="77777777" w:rsidR="005D62D8" w:rsidRDefault="005D62D8" w:rsidP="00184B0A">
            <w:pPr>
              <w:spacing w:line="259" w:lineRule="auto"/>
            </w:pPr>
            <w:r>
              <w:t xml:space="preserve">Regular review and improvement of IT /OT Security </w:t>
            </w:r>
          </w:p>
        </w:tc>
      </w:tr>
      <w:tr w:rsidR="005D62D8" w14:paraId="463C0B3B"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31236911" w14:textId="77777777" w:rsidR="005D62D8" w:rsidRDefault="005D62D8" w:rsidP="00184B0A">
            <w:pPr>
              <w:spacing w:line="259" w:lineRule="auto"/>
              <w:ind w:left="4"/>
            </w:pPr>
            <w:r>
              <w:lastRenderedPageBreak/>
              <w:t xml:space="preserve">44 </w:t>
            </w:r>
          </w:p>
        </w:tc>
        <w:tc>
          <w:tcPr>
            <w:tcW w:w="8191" w:type="dxa"/>
            <w:tcBorders>
              <w:top w:val="single" w:sz="4" w:space="0" w:color="000000"/>
              <w:left w:val="single" w:sz="4" w:space="0" w:color="000000"/>
              <w:bottom w:val="single" w:sz="4" w:space="0" w:color="000000"/>
              <w:right w:val="single" w:sz="4" w:space="0" w:color="000000"/>
            </w:tcBorders>
          </w:tcPr>
          <w:p w14:paraId="368277D6" w14:textId="77777777" w:rsidR="005D62D8" w:rsidRDefault="005D62D8" w:rsidP="00184B0A">
            <w:pPr>
              <w:spacing w:line="259" w:lineRule="auto"/>
            </w:pPr>
            <w:r>
              <w:t xml:space="preserve">Cyber </w:t>
            </w:r>
            <w:proofErr w:type="spellStart"/>
            <w:r>
              <w:t>Defence</w:t>
            </w:r>
            <w:proofErr w:type="spellEnd"/>
            <w:r>
              <w:t xml:space="preserve"> </w:t>
            </w:r>
          </w:p>
        </w:tc>
      </w:tr>
      <w:tr w:rsidR="005D62D8" w14:paraId="487F0A80"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0887C302" w14:textId="77777777" w:rsidR="005D62D8" w:rsidRDefault="005D62D8" w:rsidP="00184B0A">
            <w:pPr>
              <w:spacing w:line="259" w:lineRule="auto"/>
              <w:ind w:left="4"/>
            </w:pPr>
            <w:r>
              <w:t xml:space="preserve">45 </w:t>
            </w:r>
          </w:p>
        </w:tc>
        <w:tc>
          <w:tcPr>
            <w:tcW w:w="8191" w:type="dxa"/>
            <w:tcBorders>
              <w:top w:val="single" w:sz="4" w:space="0" w:color="000000"/>
              <w:left w:val="single" w:sz="4" w:space="0" w:color="000000"/>
              <w:bottom w:val="single" w:sz="4" w:space="0" w:color="000000"/>
              <w:right w:val="single" w:sz="4" w:space="0" w:color="000000"/>
            </w:tcBorders>
          </w:tcPr>
          <w:p w14:paraId="5B50DEC5" w14:textId="77777777" w:rsidR="005D62D8" w:rsidRDefault="005D62D8" w:rsidP="00184B0A">
            <w:pPr>
              <w:spacing w:line="259" w:lineRule="auto"/>
            </w:pPr>
            <w:r>
              <w:t xml:space="preserve">Event Management </w:t>
            </w:r>
          </w:p>
        </w:tc>
      </w:tr>
      <w:tr w:rsidR="005D62D8" w14:paraId="31DEE46C"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4CC2AFA9" w14:textId="77777777" w:rsidR="005D62D8" w:rsidRDefault="005D62D8" w:rsidP="00184B0A">
            <w:pPr>
              <w:spacing w:line="259" w:lineRule="auto"/>
              <w:ind w:left="4"/>
            </w:pPr>
            <w:r>
              <w:t xml:space="preserve">46 </w:t>
            </w:r>
          </w:p>
        </w:tc>
        <w:tc>
          <w:tcPr>
            <w:tcW w:w="8191" w:type="dxa"/>
            <w:tcBorders>
              <w:top w:val="single" w:sz="4" w:space="0" w:color="000000"/>
              <w:left w:val="single" w:sz="4" w:space="0" w:color="000000"/>
              <w:bottom w:val="single" w:sz="4" w:space="0" w:color="000000"/>
              <w:right w:val="single" w:sz="4" w:space="0" w:color="000000"/>
            </w:tcBorders>
          </w:tcPr>
          <w:p w14:paraId="63D9B418" w14:textId="77777777" w:rsidR="005D62D8" w:rsidRDefault="005D62D8" w:rsidP="00184B0A">
            <w:pPr>
              <w:spacing w:line="259" w:lineRule="auto"/>
            </w:pPr>
            <w:r>
              <w:t xml:space="preserve">Log Management  </w:t>
            </w:r>
          </w:p>
        </w:tc>
      </w:tr>
      <w:tr w:rsidR="005D62D8" w14:paraId="552A19E7"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4EEDC5B2" w14:textId="77777777" w:rsidR="005D62D8" w:rsidRDefault="005D62D8" w:rsidP="00184B0A">
            <w:pPr>
              <w:spacing w:line="259" w:lineRule="auto"/>
              <w:ind w:left="4"/>
            </w:pPr>
            <w:r>
              <w:t xml:space="preserve">47 </w:t>
            </w:r>
          </w:p>
        </w:tc>
        <w:tc>
          <w:tcPr>
            <w:tcW w:w="8191" w:type="dxa"/>
            <w:tcBorders>
              <w:top w:val="single" w:sz="4" w:space="0" w:color="000000"/>
              <w:left w:val="single" w:sz="4" w:space="0" w:color="000000"/>
              <w:bottom w:val="single" w:sz="4" w:space="0" w:color="000000"/>
              <w:right w:val="single" w:sz="4" w:space="0" w:color="000000"/>
            </w:tcBorders>
          </w:tcPr>
          <w:p w14:paraId="12C61BED" w14:textId="77777777" w:rsidR="005D62D8" w:rsidRDefault="005D62D8" w:rsidP="00184B0A">
            <w:pPr>
              <w:spacing w:line="259" w:lineRule="auto"/>
            </w:pPr>
            <w:r>
              <w:t xml:space="preserve">Incident Management  </w:t>
            </w:r>
          </w:p>
        </w:tc>
      </w:tr>
      <w:tr w:rsidR="005D62D8" w14:paraId="773408C8"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4B30A5B5" w14:textId="77777777" w:rsidR="005D62D8" w:rsidRDefault="005D62D8" w:rsidP="00184B0A">
            <w:pPr>
              <w:spacing w:line="259" w:lineRule="auto"/>
              <w:ind w:left="4"/>
            </w:pPr>
            <w:r>
              <w:t xml:space="preserve">48 </w:t>
            </w:r>
          </w:p>
        </w:tc>
        <w:tc>
          <w:tcPr>
            <w:tcW w:w="8191" w:type="dxa"/>
            <w:tcBorders>
              <w:top w:val="single" w:sz="4" w:space="0" w:color="000000"/>
              <w:left w:val="single" w:sz="4" w:space="0" w:color="000000"/>
              <w:bottom w:val="single" w:sz="4" w:space="0" w:color="000000"/>
              <w:right w:val="single" w:sz="4" w:space="0" w:color="000000"/>
            </w:tcBorders>
          </w:tcPr>
          <w:p w14:paraId="2451F516" w14:textId="77777777" w:rsidR="005D62D8" w:rsidRDefault="005D62D8" w:rsidP="00184B0A">
            <w:pPr>
              <w:spacing w:line="259" w:lineRule="auto"/>
            </w:pPr>
            <w:r>
              <w:t xml:space="preserve">Service Desk (IR) </w:t>
            </w:r>
          </w:p>
        </w:tc>
      </w:tr>
      <w:tr w:rsidR="005D62D8" w14:paraId="3B90A452"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2241DEEA" w14:textId="77777777" w:rsidR="005D62D8" w:rsidRDefault="005D62D8" w:rsidP="00184B0A">
            <w:pPr>
              <w:spacing w:line="259" w:lineRule="auto"/>
              <w:ind w:left="4"/>
            </w:pPr>
            <w:r>
              <w:t xml:space="preserve">49 </w:t>
            </w:r>
          </w:p>
        </w:tc>
        <w:tc>
          <w:tcPr>
            <w:tcW w:w="8191" w:type="dxa"/>
            <w:tcBorders>
              <w:top w:val="single" w:sz="4" w:space="0" w:color="000000"/>
              <w:left w:val="single" w:sz="4" w:space="0" w:color="000000"/>
              <w:bottom w:val="single" w:sz="4" w:space="0" w:color="000000"/>
              <w:right w:val="single" w:sz="4" w:space="0" w:color="000000"/>
            </w:tcBorders>
          </w:tcPr>
          <w:p w14:paraId="54116D08" w14:textId="77777777" w:rsidR="005D62D8" w:rsidRDefault="005D62D8" w:rsidP="00184B0A">
            <w:pPr>
              <w:spacing w:line="259" w:lineRule="auto"/>
            </w:pPr>
            <w:r>
              <w:t xml:space="preserve">Cyber Threat Intelligence (CTI) </w:t>
            </w:r>
          </w:p>
        </w:tc>
      </w:tr>
      <w:tr w:rsidR="005D62D8" w14:paraId="5340BC7A"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36FCC484" w14:textId="77777777" w:rsidR="005D62D8" w:rsidRDefault="005D62D8" w:rsidP="00184B0A">
            <w:pPr>
              <w:spacing w:line="259" w:lineRule="auto"/>
              <w:ind w:left="4"/>
            </w:pPr>
            <w:r>
              <w:t xml:space="preserve">50 </w:t>
            </w:r>
          </w:p>
        </w:tc>
        <w:tc>
          <w:tcPr>
            <w:tcW w:w="8191" w:type="dxa"/>
            <w:tcBorders>
              <w:top w:val="single" w:sz="4" w:space="0" w:color="000000"/>
              <w:left w:val="single" w:sz="4" w:space="0" w:color="000000"/>
              <w:bottom w:val="single" w:sz="4" w:space="0" w:color="000000"/>
              <w:right w:val="single" w:sz="4" w:space="0" w:color="000000"/>
            </w:tcBorders>
          </w:tcPr>
          <w:p w14:paraId="1A0BD6EB" w14:textId="77777777" w:rsidR="005D62D8" w:rsidRDefault="005D62D8" w:rsidP="00184B0A">
            <w:pPr>
              <w:spacing w:line="259" w:lineRule="auto"/>
            </w:pPr>
            <w:r>
              <w:t xml:space="preserve">Threat Information Sharing  </w:t>
            </w:r>
          </w:p>
        </w:tc>
      </w:tr>
      <w:tr w:rsidR="005D62D8" w14:paraId="314F250A"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758B7C9E" w14:textId="77777777" w:rsidR="005D62D8" w:rsidRDefault="005D62D8" w:rsidP="00184B0A">
            <w:pPr>
              <w:spacing w:line="259" w:lineRule="auto"/>
              <w:ind w:left="4"/>
            </w:pPr>
            <w:r>
              <w:t xml:space="preserve">51 </w:t>
            </w:r>
          </w:p>
        </w:tc>
        <w:tc>
          <w:tcPr>
            <w:tcW w:w="8191" w:type="dxa"/>
            <w:tcBorders>
              <w:top w:val="single" w:sz="4" w:space="0" w:color="000000"/>
              <w:left w:val="single" w:sz="4" w:space="0" w:color="000000"/>
              <w:bottom w:val="single" w:sz="4" w:space="0" w:color="000000"/>
              <w:right w:val="single" w:sz="4" w:space="0" w:color="000000"/>
            </w:tcBorders>
          </w:tcPr>
          <w:p w14:paraId="0338B39C" w14:textId="77777777" w:rsidR="005D62D8" w:rsidRDefault="005D62D8" w:rsidP="00184B0A">
            <w:pPr>
              <w:spacing w:line="259" w:lineRule="auto"/>
            </w:pPr>
            <w:r>
              <w:t xml:space="preserve">Threat Hunting </w:t>
            </w:r>
          </w:p>
        </w:tc>
      </w:tr>
      <w:tr w:rsidR="005D62D8" w14:paraId="790C4667"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444CC168" w14:textId="77777777" w:rsidR="005D62D8" w:rsidRDefault="005D62D8" w:rsidP="00184B0A">
            <w:pPr>
              <w:spacing w:line="259" w:lineRule="auto"/>
              <w:ind w:left="4"/>
            </w:pPr>
            <w:r>
              <w:t xml:space="preserve">52 </w:t>
            </w:r>
          </w:p>
        </w:tc>
        <w:tc>
          <w:tcPr>
            <w:tcW w:w="8191" w:type="dxa"/>
            <w:tcBorders>
              <w:top w:val="single" w:sz="4" w:space="0" w:color="000000"/>
              <w:left w:val="single" w:sz="4" w:space="0" w:color="000000"/>
              <w:bottom w:val="single" w:sz="4" w:space="0" w:color="000000"/>
              <w:right w:val="single" w:sz="4" w:space="0" w:color="000000"/>
            </w:tcBorders>
          </w:tcPr>
          <w:p w14:paraId="4FA49C48" w14:textId="77777777" w:rsidR="005D62D8" w:rsidRDefault="005D62D8" w:rsidP="00184B0A">
            <w:pPr>
              <w:spacing w:line="259" w:lineRule="auto"/>
            </w:pPr>
            <w:r>
              <w:t xml:space="preserve">Security Analytics  </w:t>
            </w:r>
          </w:p>
        </w:tc>
      </w:tr>
      <w:tr w:rsidR="005D62D8" w14:paraId="0EF4A95F"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66F5CBDC" w14:textId="77777777" w:rsidR="005D62D8" w:rsidRDefault="005D62D8" w:rsidP="00184B0A">
            <w:pPr>
              <w:spacing w:line="259" w:lineRule="auto"/>
              <w:ind w:left="4"/>
            </w:pPr>
            <w:r>
              <w:t xml:space="preserve">53 </w:t>
            </w:r>
          </w:p>
        </w:tc>
        <w:tc>
          <w:tcPr>
            <w:tcW w:w="8191" w:type="dxa"/>
            <w:tcBorders>
              <w:top w:val="single" w:sz="4" w:space="0" w:color="000000"/>
              <w:left w:val="single" w:sz="4" w:space="0" w:color="000000"/>
              <w:bottom w:val="single" w:sz="4" w:space="0" w:color="000000"/>
              <w:right w:val="single" w:sz="4" w:space="0" w:color="000000"/>
            </w:tcBorders>
          </w:tcPr>
          <w:p w14:paraId="7E9AAD3B" w14:textId="77777777" w:rsidR="005D62D8" w:rsidRDefault="005D62D8" w:rsidP="00184B0A">
            <w:pPr>
              <w:spacing w:line="259" w:lineRule="auto"/>
            </w:pPr>
            <w:r>
              <w:t xml:space="preserve">Security Operations Centre / Continuous Monitoring </w:t>
            </w:r>
          </w:p>
        </w:tc>
      </w:tr>
      <w:tr w:rsidR="005D62D8" w14:paraId="21EF76E6"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5B125B94" w14:textId="77777777" w:rsidR="005D62D8" w:rsidRDefault="005D62D8" w:rsidP="00184B0A">
            <w:pPr>
              <w:spacing w:line="259" w:lineRule="auto"/>
              <w:ind w:left="4"/>
            </w:pPr>
            <w:r>
              <w:t xml:space="preserve">54 </w:t>
            </w:r>
          </w:p>
        </w:tc>
        <w:tc>
          <w:tcPr>
            <w:tcW w:w="8191" w:type="dxa"/>
            <w:tcBorders>
              <w:top w:val="single" w:sz="4" w:space="0" w:color="000000"/>
              <w:left w:val="single" w:sz="4" w:space="0" w:color="000000"/>
              <w:bottom w:val="single" w:sz="4" w:space="0" w:color="000000"/>
              <w:right w:val="single" w:sz="4" w:space="0" w:color="000000"/>
            </w:tcBorders>
          </w:tcPr>
          <w:p w14:paraId="6A503433" w14:textId="77777777" w:rsidR="005D62D8" w:rsidRDefault="005D62D8" w:rsidP="00184B0A">
            <w:pPr>
              <w:spacing w:line="259" w:lineRule="auto"/>
            </w:pPr>
            <w:r>
              <w:t xml:space="preserve">Cyber Crisis Management </w:t>
            </w:r>
          </w:p>
        </w:tc>
      </w:tr>
      <w:tr w:rsidR="005D62D8" w14:paraId="07DB6F13"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7AB11E62" w14:textId="77777777" w:rsidR="005D62D8" w:rsidRDefault="005D62D8" w:rsidP="00184B0A">
            <w:pPr>
              <w:spacing w:line="259" w:lineRule="auto"/>
              <w:ind w:left="4"/>
            </w:pPr>
            <w:r>
              <w:t xml:space="preserve">55 </w:t>
            </w:r>
          </w:p>
        </w:tc>
        <w:tc>
          <w:tcPr>
            <w:tcW w:w="8191" w:type="dxa"/>
            <w:tcBorders>
              <w:top w:val="single" w:sz="4" w:space="0" w:color="000000"/>
              <w:left w:val="single" w:sz="4" w:space="0" w:color="000000"/>
              <w:bottom w:val="single" w:sz="4" w:space="0" w:color="000000"/>
              <w:right w:val="single" w:sz="4" w:space="0" w:color="000000"/>
            </w:tcBorders>
          </w:tcPr>
          <w:p w14:paraId="77E784B8" w14:textId="77777777" w:rsidR="005D62D8" w:rsidRDefault="005D62D8" w:rsidP="00184B0A">
            <w:pPr>
              <w:spacing w:line="259" w:lineRule="auto"/>
            </w:pPr>
            <w:r>
              <w:t xml:space="preserve">Business Continuity Management </w:t>
            </w:r>
          </w:p>
        </w:tc>
      </w:tr>
      <w:tr w:rsidR="005D62D8" w14:paraId="2CBE67D7"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0840D27F" w14:textId="77777777" w:rsidR="005D62D8" w:rsidRDefault="005D62D8" w:rsidP="00184B0A">
            <w:pPr>
              <w:spacing w:line="259" w:lineRule="auto"/>
              <w:ind w:left="4"/>
            </w:pPr>
            <w:r>
              <w:t xml:space="preserve">56 </w:t>
            </w:r>
          </w:p>
        </w:tc>
        <w:tc>
          <w:tcPr>
            <w:tcW w:w="8191" w:type="dxa"/>
            <w:tcBorders>
              <w:top w:val="single" w:sz="4" w:space="0" w:color="000000"/>
              <w:left w:val="single" w:sz="4" w:space="0" w:color="000000"/>
              <w:bottom w:val="single" w:sz="4" w:space="0" w:color="000000"/>
              <w:right w:val="single" w:sz="4" w:space="0" w:color="000000"/>
            </w:tcBorders>
          </w:tcPr>
          <w:p w14:paraId="39D7F428" w14:textId="77777777" w:rsidR="005D62D8" w:rsidRDefault="005D62D8" w:rsidP="00184B0A">
            <w:pPr>
              <w:spacing w:line="259" w:lineRule="auto"/>
            </w:pPr>
            <w:r>
              <w:t xml:space="preserve">Recovery Management </w:t>
            </w:r>
          </w:p>
        </w:tc>
      </w:tr>
      <w:tr w:rsidR="005D62D8" w14:paraId="75AF09E5"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1FA27D9F" w14:textId="77777777" w:rsidR="005D62D8" w:rsidRDefault="005D62D8" w:rsidP="00184B0A">
            <w:pPr>
              <w:spacing w:line="259" w:lineRule="auto"/>
              <w:ind w:left="4"/>
              <w:rPr>
                <w:b/>
              </w:rPr>
            </w:pPr>
            <w:r>
              <w:t xml:space="preserve">57 </w:t>
            </w:r>
          </w:p>
        </w:tc>
        <w:tc>
          <w:tcPr>
            <w:tcW w:w="8191" w:type="dxa"/>
            <w:tcBorders>
              <w:top w:val="single" w:sz="4" w:space="0" w:color="000000"/>
              <w:left w:val="single" w:sz="4" w:space="0" w:color="000000"/>
              <w:bottom w:val="single" w:sz="4" w:space="0" w:color="000000"/>
              <w:right w:val="single" w:sz="4" w:space="0" w:color="000000"/>
            </w:tcBorders>
          </w:tcPr>
          <w:p w14:paraId="37BA006C" w14:textId="77777777" w:rsidR="005D62D8" w:rsidRDefault="005D62D8" w:rsidP="00184B0A">
            <w:pPr>
              <w:spacing w:line="259" w:lineRule="auto"/>
              <w:rPr>
                <w:b/>
              </w:rPr>
            </w:pPr>
            <w:r>
              <w:t xml:space="preserve">Post Incident Analysis and Forensics  </w:t>
            </w:r>
          </w:p>
        </w:tc>
      </w:tr>
      <w:tr w:rsidR="005D62D8" w14:paraId="64A29312"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571B8E27" w14:textId="77777777" w:rsidR="005D62D8" w:rsidRDefault="005D62D8" w:rsidP="00184B0A">
            <w:pPr>
              <w:spacing w:line="259" w:lineRule="auto"/>
              <w:ind w:left="4"/>
            </w:pPr>
            <w:r>
              <w:t xml:space="preserve">58 </w:t>
            </w:r>
          </w:p>
        </w:tc>
        <w:tc>
          <w:tcPr>
            <w:tcW w:w="8191" w:type="dxa"/>
            <w:tcBorders>
              <w:top w:val="single" w:sz="4" w:space="0" w:color="000000"/>
              <w:left w:val="single" w:sz="4" w:space="0" w:color="000000"/>
              <w:bottom w:val="single" w:sz="4" w:space="0" w:color="000000"/>
              <w:right w:val="single" w:sz="4" w:space="0" w:color="000000"/>
            </w:tcBorders>
          </w:tcPr>
          <w:p w14:paraId="572940AA" w14:textId="77777777" w:rsidR="005D62D8" w:rsidRDefault="005D62D8" w:rsidP="00184B0A">
            <w:pPr>
              <w:spacing w:line="259" w:lineRule="auto"/>
            </w:pPr>
            <w:r>
              <w:t xml:space="preserve">Service Improvement / Cyber Security Posture Improvement </w:t>
            </w:r>
          </w:p>
        </w:tc>
      </w:tr>
      <w:tr w:rsidR="005D62D8" w14:paraId="0CAE742C"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4BF10729" w14:textId="77777777" w:rsidR="005D62D8" w:rsidRDefault="005D62D8" w:rsidP="00184B0A">
            <w:pPr>
              <w:spacing w:line="259" w:lineRule="auto"/>
              <w:ind w:left="4"/>
            </w:pPr>
            <w:r>
              <w:t xml:space="preserve">59 </w:t>
            </w:r>
          </w:p>
        </w:tc>
        <w:tc>
          <w:tcPr>
            <w:tcW w:w="8191" w:type="dxa"/>
            <w:tcBorders>
              <w:top w:val="single" w:sz="4" w:space="0" w:color="000000"/>
              <w:left w:val="single" w:sz="4" w:space="0" w:color="000000"/>
              <w:bottom w:val="single" w:sz="4" w:space="0" w:color="000000"/>
              <w:right w:val="single" w:sz="4" w:space="0" w:color="000000"/>
            </w:tcBorders>
          </w:tcPr>
          <w:p w14:paraId="78AC7FC4" w14:textId="77777777" w:rsidR="005D62D8" w:rsidRDefault="005D62D8" w:rsidP="00184B0A">
            <w:pPr>
              <w:spacing w:line="259" w:lineRule="auto"/>
            </w:pPr>
            <w:r>
              <w:t xml:space="preserve">Personnel Security </w:t>
            </w:r>
          </w:p>
        </w:tc>
      </w:tr>
      <w:tr w:rsidR="005D62D8" w14:paraId="42D1EAFF"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1BAB7A1A" w14:textId="77777777" w:rsidR="005D62D8" w:rsidRDefault="005D62D8" w:rsidP="00184B0A">
            <w:pPr>
              <w:spacing w:line="259" w:lineRule="auto"/>
              <w:ind w:left="4"/>
            </w:pPr>
            <w:r>
              <w:t xml:space="preserve">60 </w:t>
            </w:r>
          </w:p>
        </w:tc>
        <w:tc>
          <w:tcPr>
            <w:tcW w:w="8191" w:type="dxa"/>
            <w:tcBorders>
              <w:top w:val="single" w:sz="4" w:space="0" w:color="000000"/>
              <w:left w:val="single" w:sz="4" w:space="0" w:color="000000"/>
              <w:bottom w:val="single" w:sz="4" w:space="0" w:color="000000"/>
              <w:right w:val="single" w:sz="4" w:space="0" w:color="000000"/>
            </w:tcBorders>
          </w:tcPr>
          <w:p w14:paraId="1C78012D" w14:textId="77777777" w:rsidR="005D62D8" w:rsidRDefault="005D62D8" w:rsidP="00184B0A">
            <w:pPr>
              <w:spacing w:line="259" w:lineRule="auto"/>
            </w:pPr>
            <w:r>
              <w:t xml:space="preserve">Capacity Building </w:t>
            </w:r>
          </w:p>
        </w:tc>
      </w:tr>
      <w:tr w:rsidR="005D62D8" w14:paraId="41D9E9F6" w14:textId="77777777" w:rsidTr="00184B0A">
        <w:trPr>
          <w:trHeight w:val="278"/>
        </w:trPr>
        <w:tc>
          <w:tcPr>
            <w:tcW w:w="806" w:type="dxa"/>
            <w:tcBorders>
              <w:top w:val="single" w:sz="4" w:space="0" w:color="000000"/>
              <w:left w:val="single" w:sz="4" w:space="0" w:color="000000"/>
              <w:bottom w:val="single" w:sz="4" w:space="0" w:color="000000"/>
              <w:right w:val="single" w:sz="4" w:space="0" w:color="000000"/>
            </w:tcBorders>
          </w:tcPr>
          <w:p w14:paraId="0A3115B4" w14:textId="77777777" w:rsidR="005D62D8" w:rsidRDefault="005D62D8" w:rsidP="00184B0A">
            <w:pPr>
              <w:spacing w:line="259" w:lineRule="auto"/>
              <w:ind w:left="4"/>
            </w:pPr>
            <w:r>
              <w:t xml:space="preserve">61 </w:t>
            </w:r>
          </w:p>
        </w:tc>
        <w:tc>
          <w:tcPr>
            <w:tcW w:w="8191" w:type="dxa"/>
            <w:tcBorders>
              <w:top w:val="single" w:sz="4" w:space="0" w:color="000000"/>
              <w:left w:val="single" w:sz="4" w:space="0" w:color="000000"/>
              <w:bottom w:val="single" w:sz="4" w:space="0" w:color="000000"/>
              <w:right w:val="single" w:sz="4" w:space="0" w:color="000000"/>
            </w:tcBorders>
          </w:tcPr>
          <w:p w14:paraId="181A3E6F" w14:textId="77777777" w:rsidR="005D62D8" w:rsidRDefault="005D62D8" w:rsidP="00184B0A">
            <w:pPr>
              <w:spacing w:line="259" w:lineRule="auto"/>
            </w:pPr>
            <w:r>
              <w:t xml:space="preserve">Workforce Competency Development </w:t>
            </w:r>
          </w:p>
        </w:tc>
      </w:tr>
    </w:tbl>
    <w:p w14:paraId="5FF160B3" w14:textId="77777777" w:rsidR="005D62D8" w:rsidRDefault="005D62D8" w:rsidP="005D62D8">
      <w:pPr>
        <w:ind w:right="30"/>
      </w:pPr>
    </w:p>
    <w:p w14:paraId="4A17A72A" w14:textId="77777777" w:rsidR="005D62D8" w:rsidRDefault="005D62D8" w:rsidP="005D62D8">
      <w:pPr>
        <w:ind w:left="-5" w:right="2"/>
      </w:pPr>
    </w:p>
    <w:p w14:paraId="0874E4EE" w14:textId="77777777" w:rsidR="005D62D8" w:rsidRPr="00A418F2" w:rsidRDefault="005D62D8" w:rsidP="005D62D8">
      <w:pPr>
        <w:rPr>
          <w:rFonts w:ascii="Arial Nova" w:hAnsi="Arial Nova" w:cs="Arial"/>
          <w:b/>
          <w:bCs/>
        </w:rPr>
      </w:pPr>
    </w:p>
    <w:p w14:paraId="077F3CCE" w14:textId="77777777" w:rsidR="005D62D8" w:rsidRPr="00A418F2" w:rsidRDefault="005D62D8" w:rsidP="005D62D8">
      <w:pPr>
        <w:jc w:val="center"/>
        <w:rPr>
          <w:rFonts w:ascii="Arial Nova" w:hAnsi="Arial Nova" w:cs="Arial"/>
          <w:b/>
          <w:bCs/>
          <w:lang w:val="en-GB"/>
        </w:rPr>
      </w:pPr>
      <w:r w:rsidRPr="00A418F2">
        <w:rPr>
          <w:rFonts w:ascii="Arial Nova" w:hAnsi="Arial Nova" w:cs="Arial"/>
          <w:b/>
          <w:bCs/>
          <w:lang w:val="en-GB"/>
        </w:rPr>
        <w:t xml:space="preserve">----- </w:t>
      </w:r>
      <w:r w:rsidRPr="00A418F2">
        <w:rPr>
          <w:rFonts w:ascii="Arial Nova" w:hAnsi="Arial Nova" w:cs="Arial"/>
          <w:b/>
          <w:bCs/>
          <w:i/>
          <w:iCs/>
          <w:lang w:val="en-GB"/>
        </w:rPr>
        <w:t xml:space="preserve">End of </w:t>
      </w:r>
      <w:proofErr w:type="spellStart"/>
      <w:r w:rsidRPr="00A418F2">
        <w:rPr>
          <w:rFonts w:ascii="Arial Nova" w:hAnsi="Arial Nova" w:cs="Arial"/>
          <w:b/>
          <w:bCs/>
          <w:i/>
          <w:iCs/>
          <w:lang w:val="en-GB"/>
        </w:rPr>
        <w:t>ToR</w:t>
      </w:r>
      <w:proofErr w:type="spellEnd"/>
      <w:r w:rsidRPr="00A418F2">
        <w:rPr>
          <w:rFonts w:ascii="Arial Nova" w:hAnsi="Arial Nova" w:cs="Arial"/>
          <w:b/>
          <w:bCs/>
          <w:i/>
          <w:iCs/>
          <w:lang w:val="en-GB"/>
        </w:rPr>
        <w:t xml:space="preserve"> </w:t>
      </w:r>
      <w:r w:rsidRPr="00A418F2">
        <w:rPr>
          <w:rFonts w:ascii="Arial Nova" w:hAnsi="Arial Nova" w:cs="Arial"/>
          <w:b/>
          <w:bCs/>
          <w:lang w:val="en-GB"/>
        </w:rPr>
        <w:t>----</w:t>
      </w:r>
    </w:p>
    <w:p w14:paraId="652EC669" w14:textId="77777777" w:rsidR="00DF7579" w:rsidRPr="00CF65D9" w:rsidRDefault="00DF7579" w:rsidP="003F3F6A">
      <w:pPr>
        <w:jc w:val="both"/>
        <w:rPr>
          <w:rFonts w:ascii="Arial" w:hAnsi="Arial" w:cs="Arial"/>
          <w:szCs w:val="22"/>
        </w:rPr>
      </w:pPr>
    </w:p>
    <w:sectPr w:rsidR="00DF7579" w:rsidRPr="00CF65D9" w:rsidSect="00BC68E3">
      <w:footerReference w:type="default" r:id="rId9"/>
      <w:pgSz w:w="11906" w:h="16838"/>
      <w:pgMar w:top="1080" w:right="1440" w:bottom="1800" w:left="1440" w:header="720" w:footer="53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E15EB" w14:textId="77777777" w:rsidR="003B2D3B" w:rsidRDefault="003B2D3B" w:rsidP="003B2D3B">
      <w:pPr>
        <w:spacing w:after="0" w:line="240" w:lineRule="auto"/>
      </w:pPr>
      <w:r>
        <w:separator/>
      </w:r>
    </w:p>
  </w:endnote>
  <w:endnote w:type="continuationSeparator" w:id="0">
    <w:p w14:paraId="1505F107" w14:textId="77777777" w:rsidR="003B2D3B" w:rsidRDefault="003B2D3B" w:rsidP="003B2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4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840"/>
      <w:gridCol w:w="1800"/>
    </w:tblGrid>
    <w:tr w:rsidR="003B2D3B" w:rsidRPr="00B22374" w14:paraId="19E9A591" w14:textId="77777777" w:rsidTr="00B37069">
      <w:trPr>
        <w:cantSplit/>
        <w:trHeight w:val="708"/>
      </w:trPr>
      <w:tc>
        <w:tcPr>
          <w:tcW w:w="6840" w:type="dxa"/>
        </w:tcPr>
        <w:p w14:paraId="1607C51E" w14:textId="03060E88" w:rsidR="003B2D3B" w:rsidRPr="00B22374" w:rsidRDefault="00B37069" w:rsidP="003B2D3B">
          <w:pPr>
            <w:pStyle w:val="Footer"/>
            <w:ind w:left="81" w:right="99"/>
            <w:contextualSpacing/>
            <w:jc w:val="both"/>
            <w:rPr>
              <w:rFonts w:ascii="Book Antiqua" w:hAnsi="Book Antiqua" w:cs="Arial"/>
              <w:b/>
              <w:bCs/>
              <w:sz w:val="18"/>
              <w:szCs w:val="18"/>
              <w:lang w:val="en-GB"/>
            </w:rPr>
          </w:pPr>
          <w:r w:rsidRPr="00B37069">
            <w:rPr>
              <w:rFonts w:ascii="Arial" w:hAnsi="Arial" w:cs="Arial"/>
              <w:b/>
              <w:bCs/>
              <w:sz w:val="18"/>
            </w:rPr>
            <w:t>Engagement of Consultant for Information Security Gap Assessment of POWERGRID</w:t>
          </w:r>
          <w:r w:rsidR="003B2D3B">
            <w:rPr>
              <w:rFonts w:ascii="Arial" w:hAnsi="Arial" w:cs="Arial"/>
              <w:b/>
              <w:bCs/>
              <w:sz w:val="18"/>
            </w:rPr>
            <w:t xml:space="preserve">; </w:t>
          </w:r>
          <w:r w:rsidR="003B2D3B" w:rsidRPr="003B2D3B">
            <w:rPr>
              <w:rFonts w:ascii="Arial" w:hAnsi="Arial" w:cs="Arial"/>
              <w:b/>
              <w:bCs/>
              <w:sz w:val="18"/>
            </w:rPr>
            <w:t xml:space="preserve">Spec. No. </w:t>
          </w:r>
          <w:r w:rsidR="00013346" w:rsidRPr="00013346">
            <w:rPr>
              <w:rFonts w:ascii="Arial" w:hAnsi="Arial" w:cs="Arial"/>
              <w:b/>
              <w:bCs/>
              <w:sz w:val="18"/>
            </w:rPr>
            <w:t>CC/NT/S-CONS/DOM/A00/25/03975</w:t>
          </w:r>
        </w:p>
      </w:tc>
      <w:tc>
        <w:tcPr>
          <w:tcW w:w="1800" w:type="dxa"/>
        </w:tcPr>
        <w:p w14:paraId="4321BAE8" w14:textId="58D7A4C5" w:rsidR="003B2D3B" w:rsidRPr="00B22374" w:rsidRDefault="003B2D3B" w:rsidP="003B2D3B">
          <w:pPr>
            <w:pStyle w:val="Footer"/>
            <w:tabs>
              <w:tab w:val="right" w:pos="9360"/>
            </w:tabs>
            <w:ind w:right="100"/>
            <w:contextualSpacing/>
            <w:jc w:val="right"/>
            <w:rPr>
              <w:rFonts w:ascii="Arial" w:hAnsi="Arial" w:cs="Arial"/>
              <w:b/>
              <w:bCs/>
              <w:sz w:val="18"/>
              <w:szCs w:val="18"/>
              <w:lang w:val="en-IN"/>
            </w:rPr>
          </w:pPr>
          <w:r w:rsidRPr="00B22374">
            <w:rPr>
              <w:rFonts w:ascii="Arial" w:hAnsi="Arial" w:cs="Arial"/>
              <w:b/>
              <w:bCs/>
              <w:sz w:val="18"/>
              <w:szCs w:val="18"/>
              <w:lang w:val="en-IN"/>
            </w:rPr>
            <w:t xml:space="preserve">Section </w:t>
          </w:r>
          <w:r>
            <w:rPr>
              <w:rFonts w:ascii="Arial" w:hAnsi="Arial" w:cs="Arial"/>
              <w:b/>
              <w:bCs/>
              <w:sz w:val="18"/>
              <w:szCs w:val="18"/>
              <w:lang w:val="en-IN"/>
            </w:rPr>
            <w:t>–</w:t>
          </w:r>
          <w:r w:rsidRPr="00B22374">
            <w:rPr>
              <w:rFonts w:ascii="Arial" w:hAnsi="Arial" w:cs="Arial"/>
              <w:b/>
              <w:bCs/>
              <w:sz w:val="18"/>
              <w:szCs w:val="18"/>
              <w:lang w:val="en-IN"/>
            </w:rPr>
            <w:t xml:space="preserve"> II</w:t>
          </w:r>
          <w:r>
            <w:rPr>
              <w:rFonts w:ascii="Arial" w:hAnsi="Arial" w:cs="Arial"/>
              <w:b/>
              <w:bCs/>
              <w:sz w:val="18"/>
              <w:szCs w:val="18"/>
              <w:lang w:val="en-IN"/>
            </w:rPr>
            <w:t xml:space="preserve"> (</w:t>
          </w:r>
          <w:proofErr w:type="spellStart"/>
          <w:r>
            <w:rPr>
              <w:rFonts w:ascii="Arial" w:hAnsi="Arial" w:cs="Arial"/>
              <w:b/>
              <w:bCs/>
              <w:sz w:val="18"/>
              <w:szCs w:val="18"/>
              <w:lang w:val="en-IN"/>
            </w:rPr>
            <w:t>ToR</w:t>
          </w:r>
          <w:proofErr w:type="spellEnd"/>
          <w:r>
            <w:rPr>
              <w:rFonts w:ascii="Arial" w:hAnsi="Arial" w:cs="Arial"/>
              <w:b/>
              <w:bCs/>
              <w:sz w:val="18"/>
              <w:szCs w:val="18"/>
              <w:lang w:val="en-IN"/>
            </w:rPr>
            <w:t xml:space="preserve">) </w:t>
          </w:r>
        </w:p>
        <w:p w14:paraId="3B3482A2" w14:textId="77777777" w:rsidR="003B2D3B" w:rsidRDefault="003B2D3B" w:rsidP="003B2D3B">
          <w:pPr>
            <w:tabs>
              <w:tab w:val="left" w:pos="1020"/>
            </w:tabs>
            <w:spacing w:after="0" w:line="240" w:lineRule="auto"/>
            <w:ind w:right="190"/>
            <w:contextualSpacing/>
            <w:jc w:val="right"/>
            <w:rPr>
              <w:rFonts w:ascii="Arial" w:hAnsi="Arial" w:cs="Arial"/>
              <w:b/>
              <w:bCs/>
              <w:noProof/>
              <w:sz w:val="18"/>
              <w:szCs w:val="18"/>
            </w:rPr>
          </w:pPr>
        </w:p>
        <w:p w14:paraId="7020159A" w14:textId="029C2498" w:rsidR="003B2D3B" w:rsidRPr="00B22374" w:rsidRDefault="003B2D3B" w:rsidP="003B2D3B">
          <w:pPr>
            <w:tabs>
              <w:tab w:val="left" w:pos="1020"/>
            </w:tabs>
            <w:spacing w:after="0" w:line="240" w:lineRule="auto"/>
            <w:ind w:right="100"/>
            <w:contextualSpacing/>
            <w:jc w:val="right"/>
            <w:rPr>
              <w:sz w:val="18"/>
              <w:szCs w:val="18"/>
            </w:rPr>
          </w:pPr>
          <w:r w:rsidRPr="00B22374">
            <w:rPr>
              <w:rFonts w:ascii="Arial" w:hAnsi="Arial" w:cs="Arial"/>
              <w:b/>
              <w:bCs/>
              <w:noProof/>
              <w:sz w:val="18"/>
              <w:szCs w:val="18"/>
            </w:rPr>
            <w:t xml:space="preserve">Page </w:t>
          </w:r>
          <w:r w:rsidRPr="00B22374">
            <w:rPr>
              <w:rFonts w:ascii="Arial" w:hAnsi="Arial" w:cs="Arial"/>
              <w:b/>
              <w:bCs/>
              <w:noProof/>
              <w:sz w:val="18"/>
              <w:szCs w:val="18"/>
            </w:rPr>
            <w:fldChar w:fldCharType="begin"/>
          </w:r>
          <w:r w:rsidRPr="00B22374">
            <w:rPr>
              <w:rFonts w:ascii="Arial" w:hAnsi="Arial" w:cs="Arial"/>
              <w:b/>
              <w:bCs/>
              <w:noProof/>
              <w:sz w:val="18"/>
              <w:szCs w:val="18"/>
            </w:rPr>
            <w:instrText xml:space="preserve"> PAGE </w:instrText>
          </w:r>
          <w:r w:rsidRPr="00B22374">
            <w:rPr>
              <w:rFonts w:ascii="Arial" w:hAnsi="Arial" w:cs="Arial"/>
              <w:b/>
              <w:bCs/>
              <w:noProof/>
              <w:sz w:val="18"/>
              <w:szCs w:val="18"/>
            </w:rPr>
            <w:fldChar w:fldCharType="separate"/>
          </w:r>
          <w:r>
            <w:rPr>
              <w:rFonts w:ascii="Arial" w:hAnsi="Arial" w:cs="Arial"/>
              <w:b/>
              <w:bCs/>
              <w:noProof/>
              <w:sz w:val="18"/>
              <w:szCs w:val="18"/>
            </w:rPr>
            <w:t>3</w:t>
          </w:r>
          <w:r w:rsidRPr="00B22374">
            <w:rPr>
              <w:rFonts w:ascii="Arial" w:hAnsi="Arial" w:cs="Arial"/>
              <w:b/>
              <w:bCs/>
              <w:noProof/>
              <w:sz w:val="18"/>
              <w:szCs w:val="18"/>
            </w:rPr>
            <w:fldChar w:fldCharType="end"/>
          </w:r>
          <w:r w:rsidRPr="00B22374">
            <w:rPr>
              <w:rFonts w:ascii="Arial" w:hAnsi="Arial" w:cs="Arial"/>
              <w:b/>
              <w:bCs/>
              <w:noProof/>
              <w:sz w:val="18"/>
              <w:szCs w:val="18"/>
            </w:rPr>
            <w:t xml:space="preserve"> of </w:t>
          </w:r>
          <w:r w:rsidRPr="00B22374">
            <w:rPr>
              <w:rFonts w:ascii="Arial" w:hAnsi="Arial" w:cs="Arial"/>
              <w:b/>
              <w:bCs/>
              <w:noProof/>
              <w:sz w:val="18"/>
              <w:szCs w:val="18"/>
            </w:rPr>
            <w:fldChar w:fldCharType="begin"/>
          </w:r>
          <w:r w:rsidRPr="00B22374">
            <w:rPr>
              <w:rFonts w:ascii="Arial" w:hAnsi="Arial" w:cs="Arial"/>
              <w:b/>
              <w:bCs/>
              <w:noProof/>
              <w:sz w:val="18"/>
              <w:szCs w:val="18"/>
            </w:rPr>
            <w:instrText xml:space="preserve"> NUMPAGES  </w:instrText>
          </w:r>
          <w:r w:rsidRPr="00B22374">
            <w:rPr>
              <w:rFonts w:ascii="Arial" w:hAnsi="Arial" w:cs="Arial"/>
              <w:b/>
              <w:bCs/>
              <w:noProof/>
              <w:sz w:val="18"/>
              <w:szCs w:val="18"/>
            </w:rPr>
            <w:fldChar w:fldCharType="separate"/>
          </w:r>
          <w:r>
            <w:rPr>
              <w:rFonts w:ascii="Arial" w:hAnsi="Arial" w:cs="Arial"/>
              <w:b/>
              <w:bCs/>
              <w:noProof/>
              <w:sz w:val="18"/>
              <w:szCs w:val="18"/>
            </w:rPr>
            <w:t>3</w:t>
          </w:r>
          <w:r w:rsidRPr="00B22374">
            <w:rPr>
              <w:rFonts w:ascii="Arial" w:hAnsi="Arial" w:cs="Arial"/>
              <w:b/>
              <w:bCs/>
              <w:noProof/>
              <w:sz w:val="18"/>
              <w:szCs w:val="18"/>
            </w:rPr>
            <w:fldChar w:fldCharType="end"/>
          </w:r>
        </w:p>
      </w:tc>
    </w:tr>
  </w:tbl>
  <w:p w14:paraId="600C130D" w14:textId="77777777" w:rsidR="003B2D3B" w:rsidRDefault="003B2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0AF2F" w14:textId="77777777" w:rsidR="003B2D3B" w:rsidRDefault="003B2D3B" w:rsidP="003B2D3B">
      <w:pPr>
        <w:spacing w:after="0" w:line="240" w:lineRule="auto"/>
      </w:pPr>
      <w:r>
        <w:separator/>
      </w:r>
    </w:p>
  </w:footnote>
  <w:footnote w:type="continuationSeparator" w:id="0">
    <w:p w14:paraId="17AE9BFC" w14:textId="77777777" w:rsidR="003B2D3B" w:rsidRDefault="003B2D3B" w:rsidP="003B2D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174CF"/>
    <w:multiLevelType w:val="hybridMultilevel"/>
    <w:tmpl w:val="DE5E6E80"/>
    <w:lvl w:ilvl="0" w:tplc="4009001B">
      <w:start w:val="1"/>
      <w:numFmt w:val="lowerRoman"/>
      <w:lvlText w:val="%1."/>
      <w:lvlJc w:val="right"/>
      <w:pPr>
        <w:ind w:left="1434" w:hanging="360"/>
      </w:pPr>
    </w:lvl>
    <w:lvl w:ilvl="1" w:tplc="40090019" w:tentative="1">
      <w:start w:val="1"/>
      <w:numFmt w:val="lowerLetter"/>
      <w:lvlText w:val="%2."/>
      <w:lvlJc w:val="left"/>
      <w:pPr>
        <w:ind w:left="2154" w:hanging="360"/>
      </w:pPr>
    </w:lvl>
    <w:lvl w:ilvl="2" w:tplc="4009001B" w:tentative="1">
      <w:start w:val="1"/>
      <w:numFmt w:val="lowerRoman"/>
      <w:lvlText w:val="%3."/>
      <w:lvlJc w:val="right"/>
      <w:pPr>
        <w:ind w:left="2874" w:hanging="180"/>
      </w:p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1" w15:restartNumberingAfterBreak="0">
    <w:nsid w:val="05DA1FC9"/>
    <w:multiLevelType w:val="hybridMultilevel"/>
    <w:tmpl w:val="3D2C537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7C6EB3"/>
    <w:multiLevelType w:val="hybridMultilevel"/>
    <w:tmpl w:val="16923A70"/>
    <w:lvl w:ilvl="0" w:tplc="4009001B">
      <w:start w:val="1"/>
      <w:numFmt w:val="lowerRoman"/>
      <w:lvlText w:val="%1."/>
      <w:lvlJc w:val="righ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15:restartNumberingAfterBreak="0">
    <w:nsid w:val="0C9B59CD"/>
    <w:multiLevelType w:val="hybridMultilevel"/>
    <w:tmpl w:val="2878FF14"/>
    <w:lvl w:ilvl="0" w:tplc="40090017">
      <w:start w:val="1"/>
      <w:numFmt w:val="lowerLetter"/>
      <w:lvlText w:val="%1)"/>
      <w:lvlJc w:val="left"/>
      <w:pPr>
        <w:ind w:left="720" w:hanging="360"/>
      </w:pPr>
    </w:lvl>
    <w:lvl w:ilvl="1" w:tplc="27A8C8CC">
      <w:start w:val="1"/>
      <w:numFmt w:val="lowerLetter"/>
      <w:lvlText w:val="%2."/>
      <w:lvlJc w:val="left"/>
      <w:pPr>
        <w:ind w:left="1440" w:hanging="360"/>
      </w:pPr>
      <w:rPr>
        <w:b w:val="0"/>
        <w:bCs w:val="0"/>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DB4CF3"/>
    <w:multiLevelType w:val="hybridMultilevel"/>
    <w:tmpl w:val="7570C0B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10A6CD7"/>
    <w:multiLevelType w:val="hybridMultilevel"/>
    <w:tmpl w:val="A69AD1EC"/>
    <w:lvl w:ilvl="0" w:tplc="40090017">
      <w:start w:val="1"/>
      <w:numFmt w:val="lowerLetter"/>
      <w:lvlText w:val="%1)"/>
      <w:lvlJc w:val="left"/>
      <w:pPr>
        <w:ind w:left="720" w:hanging="360"/>
      </w:pPr>
    </w:lvl>
    <w:lvl w:ilvl="1" w:tplc="4009001B">
      <w:start w:val="1"/>
      <w:numFmt w:val="lowerRoman"/>
      <w:lvlText w:val="%2."/>
      <w:lvlJc w:val="righ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2D46BE"/>
    <w:multiLevelType w:val="hybridMultilevel"/>
    <w:tmpl w:val="6164C51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8371B4E"/>
    <w:multiLevelType w:val="hybridMultilevel"/>
    <w:tmpl w:val="99302CC4"/>
    <w:lvl w:ilvl="0" w:tplc="D10C316C">
      <w:start w:val="1"/>
      <w:numFmt w:val="lowerLetter"/>
      <w:lvlText w:val="%1)"/>
      <w:lvlJc w:val="left"/>
      <w:pPr>
        <w:ind w:left="726" w:hanging="360"/>
      </w:pPr>
    </w:lvl>
    <w:lvl w:ilvl="1" w:tplc="60FE71EC">
      <w:start w:val="1"/>
      <w:numFmt w:val="lowerLetter"/>
      <w:lvlText w:val="%2."/>
      <w:lvlJc w:val="left"/>
      <w:pPr>
        <w:ind w:left="1446" w:hanging="360"/>
      </w:pPr>
    </w:lvl>
    <w:lvl w:ilvl="2" w:tplc="E5709EA0">
      <w:start w:val="1"/>
      <w:numFmt w:val="lowerRoman"/>
      <w:lvlText w:val="%3."/>
      <w:lvlJc w:val="right"/>
      <w:pPr>
        <w:ind w:left="2166" w:hanging="180"/>
      </w:pPr>
    </w:lvl>
    <w:lvl w:ilvl="3" w:tplc="0B9251D0">
      <w:start w:val="1"/>
      <w:numFmt w:val="decimal"/>
      <w:lvlText w:val="%4."/>
      <w:lvlJc w:val="left"/>
      <w:pPr>
        <w:ind w:left="2886" w:hanging="360"/>
      </w:pPr>
    </w:lvl>
    <w:lvl w:ilvl="4" w:tplc="0DA26948">
      <w:start w:val="1"/>
      <w:numFmt w:val="lowerLetter"/>
      <w:lvlText w:val="%5."/>
      <w:lvlJc w:val="left"/>
      <w:pPr>
        <w:ind w:left="3606" w:hanging="360"/>
      </w:pPr>
    </w:lvl>
    <w:lvl w:ilvl="5" w:tplc="59E06A56">
      <w:start w:val="1"/>
      <w:numFmt w:val="lowerRoman"/>
      <w:lvlText w:val="%6."/>
      <w:lvlJc w:val="right"/>
      <w:pPr>
        <w:ind w:left="4326" w:hanging="180"/>
      </w:pPr>
    </w:lvl>
    <w:lvl w:ilvl="6" w:tplc="D766EFE2">
      <w:start w:val="1"/>
      <w:numFmt w:val="decimal"/>
      <w:lvlText w:val="%7."/>
      <w:lvlJc w:val="left"/>
      <w:pPr>
        <w:ind w:left="5046" w:hanging="360"/>
      </w:pPr>
    </w:lvl>
    <w:lvl w:ilvl="7" w:tplc="43E655AA">
      <w:start w:val="1"/>
      <w:numFmt w:val="lowerLetter"/>
      <w:lvlText w:val="%8."/>
      <w:lvlJc w:val="left"/>
      <w:pPr>
        <w:ind w:left="5766" w:hanging="360"/>
      </w:pPr>
    </w:lvl>
    <w:lvl w:ilvl="8" w:tplc="D28C0442">
      <w:start w:val="1"/>
      <w:numFmt w:val="lowerRoman"/>
      <w:lvlText w:val="%9."/>
      <w:lvlJc w:val="right"/>
      <w:pPr>
        <w:ind w:left="6486" w:hanging="180"/>
      </w:pPr>
    </w:lvl>
  </w:abstractNum>
  <w:abstractNum w:abstractNumId="8" w15:restartNumberingAfterBreak="0">
    <w:nsid w:val="28DB0F3D"/>
    <w:multiLevelType w:val="hybridMultilevel"/>
    <w:tmpl w:val="9A6E05B4"/>
    <w:lvl w:ilvl="0" w:tplc="40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202024"/>
    <w:multiLevelType w:val="hybridMultilevel"/>
    <w:tmpl w:val="67F216EC"/>
    <w:lvl w:ilvl="0" w:tplc="B18E05FA">
      <w:start w:val="1"/>
      <w:numFmt w:val="lowerLetter"/>
      <w:lvlText w:val="%1)"/>
      <w:lvlJc w:val="left"/>
      <w:pPr>
        <w:ind w:left="1080" w:hanging="360"/>
      </w:pPr>
    </w:lvl>
    <w:lvl w:ilvl="1" w:tplc="9A6CCBCE">
      <w:start w:val="1"/>
      <w:numFmt w:val="lowerLetter"/>
      <w:lvlText w:val="%2."/>
      <w:lvlJc w:val="left"/>
      <w:pPr>
        <w:ind w:left="1800" w:hanging="360"/>
      </w:pPr>
    </w:lvl>
    <w:lvl w:ilvl="2" w:tplc="1238741C">
      <w:start w:val="1"/>
      <w:numFmt w:val="lowerRoman"/>
      <w:lvlText w:val="%3."/>
      <w:lvlJc w:val="right"/>
      <w:pPr>
        <w:ind w:left="2520" w:hanging="180"/>
      </w:pPr>
    </w:lvl>
    <w:lvl w:ilvl="3" w:tplc="CA7EC5BC" w:tentative="1">
      <w:start w:val="1"/>
      <w:numFmt w:val="decimal"/>
      <w:lvlText w:val="%4."/>
      <w:lvlJc w:val="left"/>
      <w:pPr>
        <w:ind w:left="3240" w:hanging="360"/>
      </w:pPr>
    </w:lvl>
    <w:lvl w:ilvl="4" w:tplc="62FCEECA" w:tentative="1">
      <w:start w:val="1"/>
      <w:numFmt w:val="lowerLetter"/>
      <w:lvlText w:val="%5."/>
      <w:lvlJc w:val="left"/>
      <w:pPr>
        <w:ind w:left="3960" w:hanging="360"/>
      </w:pPr>
    </w:lvl>
    <w:lvl w:ilvl="5" w:tplc="54F00A9A" w:tentative="1">
      <w:start w:val="1"/>
      <w:numFmt w:val="lowerRoman"/>
      <w:lvlText w:val="%6."/>
      <w:lvlJc w:val="right"/>
      <w:pPr>
        <w:ind w:left="4680" w:hanging="180"/>
      </w:pPr>
    </w:lvl>
    <w:lvl w:ilvl="6" w:tplc="16E017A2" w:tentative="1">
      <w:start w:val="1"/>
      <w:numFmt w:val="decimal"/>
      <w:lvlText w:val="%7."/>
      <w:lvlJc w:val="left"/>
      <w:pPr>
        <w:ind w:left="5400" w:hanging="360"/>
      </w:pPr>
    </w:lvl>
    <w:lvl w:ilvl="7" w:tplc="FD069BCE" w:tentative="1">
      <w:start w:val="1"/>
      <w:numFmt w:val="lowerLetter"/>
      <w:lvlText w:val="%8."/>
      <w:lvlJc w:val="left"/>
      <w:pPr>
        <w:ind w:left="6120" w:hanging="360"/>
      </w:pPr>
    </w:lvl>
    <w:lvl w:ilvl="8" w:tplc="9DC63C60" w:tentative="1">
      <w:start w:val="1"/>
      <w:numFmt w:val="lowerRoman"/>
      <w:lvlText w:val="%9."/>
      <w:lvlJc w:val="right"/>
      <w:pPr>
        <w:ind w:left="6840" w:hanging="180"/>
      </w:pPr>
    </w:lvl>
  </w:abstractNum>
  <w:abstractNum w:abstractNumId="10" w15:restartNumberingAfterBreak="0">
    <w:nsid w:val="39582E66"/>
    <w:multiLevelType w:val="hybridMultilevel"/>
    <w:tmpl w:val="BE5EC1CC"/>
    <w:lvl w:ilvl="0" w:tplc="CAD25D8C">
      <w:start w:val="1"/>
      <w:numFmt w:val="lowerRoman"/>
      <w:lvlText w:val="%1."/>
      <w:lvlJc w:val="right"/>
      <w:pPr>
        <w:ind w:left="2520" w:hanging="180"/>
      </w:pPr>
    </w:lvl>
    <w:lvl w:ilvl="1" w:tplc="45380A94" w:tentative="1">
      <w:start w:val="1"/>
      <w:numFmt w:val="lowerLetter"/>
      <w:lvlText w:val="%2."/>
      <w:lvlJc w:val="left"/>
      <w:pPr>
        <w:ind w:left="1800" w:hanging="360"/>
      </w:pPr>
    </w:lvl>
    <w:lvl w:ilvl="2" w:tplc="45EA8FE2" w:tentative="1">
      <w:start w:val="1"/>
      <w:numFmt w:val="lowerRoman"/>
      <w:lvlText w:val="%3."/>
      <w:lvlJc w:val="right"/>
      <w:pPr>
        <w:ind w:left="2520" w:hanging="180"/>
      </w:pPr>
    </w:lvl>
    <w:lvl w:ilvl="3" w:tplc="68E6D832" w:tentative="1">
      <w:start w:val="1"/>
      <w:numFmt w:val="decimal"/>
      <w:lvlText w:val="%4."/>
      <w:lvlJc w:val="left"/>
      <w:pPr>
        <w:ind w:left="3240" w:hanging="360"/>
      </w:pPr>
    </w:lvl>
    <w:lvl w:ilvl="4" w:tplc="884C534E" w:tentative="1">
      <w:start w:val="1"/>
      <w:numFmt w:val="lowerLetter"/>
      <w:lvlText w:val="%5."/>
      <w:lvlJc w:val="left"/>
      <w:pPr>
        <w:ind w:left="3960" w:hanging="360"/>
      </w:pPr>
    </w:lvl>
    <w:lvl w:ilvl="5" w:tplc="41748D48" w:tentative="1">
      <w:start w:val="1"/>
      <w:numFmt w:val="lowerRoman"/>
      <w:lvlText w:val="%6."/>
      <w:lvlJc w:val="right"/>
      <w:pPr>
        <w:ind w:left="4680" w:hanging="180"/>
      </w:pPr>
    </w:lvl>
    <w:lvl w:ilvl="6" w:tplc="65CA8264" w:tentative="1">
      <w:start w:val="1"/>
      <w:numFmt w:val="decimal"/>
      <w:lvlText w:val="%7."/>
      <w:lvlJc w:val="left"/>
      <w:pPr>
        <w:ind w:left="5400" w:hanging="360"/>
      </w:pPr>
    </w:lvl>
    <w:lvl w:ilvl="7" w:tplc="B016E8B8" w:tentative="1">
      <w:start w:val="1"/>
      <w:numFmt w:val="lowerLetter"/>
      <w:lvlText w:val="%8."/>
      <w:lvlJc w:val="left"/>
      <w:pPr>
        <w:ind w:left="6120" w:hanging="360"/>
      </w:pPr>
    </w:lvl>
    <w:lvl w:ilvl="8" w:tplc="59D0ED2E" w:tentative="1">
      <w:start w:val="1"/>
      <w:numFmt w:val="lowerRoman"/>
      <w:lvlText w:val="%9."/>
      <w:lvlJc w:val="right"/>
      <w:pPr>
        <w:ind w:left="6840" w:hanging="180"/>
      </w:pPr>
    </w:lvl>
  </w:abstractNum>
  <w:abstractNum w:abstractNumId="11" w15:restartNumberingAfterBreak="0">
    <w:nsid w:val="3C567A16"/>
    <w:multiLevelType w:val="hybridMultilevel"/>
    <w:tmpl w:val="E50A6B00"/>
    <w:lvl w:ilvl="0" w:tplc="40090017">
      <w:start w:val="1"/>
      <w:numFmt w:val="lowerLetter"/>
      <w:lvlText w:val="%1)"/>
      <w:lvlJc w:val="left"/>
      <w:pPr>
        <w:ind w:left="720" w:hanging="360"/>
      </w:pPr>
    </w:lvl>
    <w:lvl w:ilvl="1" w:tplc="9A005D80">
      <w:start w:val="4"/>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77461A3"/>
    <w:multiLevelType w:val="hybridMultilevel"/>
    <w:tmpl w:val="CD665624"/>
    <w:lvl w:ilvl="0" w:tplc="E1CE28A4">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15:restartNumberingAfterBreak="0">
    <w:nsid w:val="4C96657D"/>
    <w:multiLevelType w:val="hybridMultilevel"/>
    <w:tmpl w:val="7D408A5E"/>
    <w:lvl w:ilvl="0" w:tplc="40090017">
      <w:start w:val="1"/>
      <w:numFmt w:val="lowerLetter"/>
      <w:lvlText w:val="%1)"/>
      <w:lvlJc w:val="left"/>
      <w:pPr>
        <w:ind w:left="720" w:hanging="360"/>
      </w:pPr>
    </w:lvl>
    <w:lvl w:ilvl="1" w:tplc="4009001B">
      <w:start w:val="1"/>
      <w:numFmt w:val="lowerRoman"/>
      <w:lvlText w:val="%2."/>
      <w:lvlJc w:val="righ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D707755"/>
    <w:multiLevelType w:val="hybridMultilevel"/>
    <w:tmpl w:val="891A1E3E"/>
    <w:lvl w:ilvl="0" w:tplc="40090017">
      <w:start w:val="1"/>
      <w:numFmt w:val="lowerLetter"/>
      <w:lvlText w:val="%1)"/>
      <w:lvlJc w:val="left"/>
      <w:pPr>
        <w:ind w:left="720" w:hanging="360"/>
      </w:pPr>
    </w:lvl>
    <w:lvl w:ilvl="1" w:tplc="4009001B">
      <w:start w:val="1"/>
      <w:numFmt w:val="lowerRoman"/>
      <w:lvlText w:val="%2."/>
      <w:lvlJc w:val="righ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1056AED"/>
    <w:multiLevelType w:val="hybridMultilevel"/>
    <w:tmpl w:val="9142292A"/>
    <w:lvl w:ilvl="0" w:tplc="40090017">
      <w:start w:val="1"/>
      <w:numFmt w:val="lowerLetter"/>
      <w:lvlText w:val="%1)"/>
      <w:lvlJc w:val="left"/>
      <w:pPr>
        <w:ind w:left="720" w:hanging="360"/>
      </w:pPr>
    </w:lvl>
    <w:lvl w:ilvl="1" w:tplc="AF40B7CC">
      <w:start w:val="3"/>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3B33F97"/>
    <w:multiLevelType w:val="hybridMultilevel"/>
    <w:tmpl w:val="95185AA2"/>
    <w:lvl w:ilvl="0" w:tplc="40090017">
      <w:start w:val="1"/>
      <w:numFmt w:val="lowerLetter"/>
      <w:lvlText w:val="%1)"/>
      <w:lvlJc w:val="left"/>
      <w:pPr>
        <w:ind w:left="720" w:hanging="360"/>
      </w:pPr>
    </w:lvl>
    <w:lvl w:ilvl="1" w:tplc="4009001B">
      <w:start w:val="1"/>
      <w:numFmt w:val="lowerRoman"/>
      <w:lvlText w:val="%2."/>
      <w:lvlJc w:val="righ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FD58E6"/>
    <w:multiLevelType w:val="hybridMultilevel"/>
    <w:tmpl w:val="74B838D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B743608"/>
    <w:multiLevelType w:val="hybridMultilevel"/>
    <w:tmpl w:val="30046F20"/>
    <w:lvl w:ilvl="0" w:tplc="E1CE28A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62B75465"/>
    <w:multiLevelType w:val="multilevel"/>
    <w:tmpl w:val="4F281AE4"/>
    <w:lvl w:ilvl="0">
      <w:start w:val="1"/>
      <w:numFmt w:val="decimal"/>
      <w:lvlText w:val="%1."/>
      <w:lvlJc w:val="left"/>
      <w:pPr>
        <w:ind w:left="6" w:hanging="360"/>
      </w:pPr>
      <w:rPr>
        <w:b/>
        <w:bCs/>
      </w:rPr>
    </w:lvl>
    <w:lvl w:ilvl="1">
      <w:start w:val="1"/>
      <w:numFmt w:val="decimal"/>
      <w:lvlText w:val="%1.%2."/>
      <w:lvlJc w:val="left"/>
      <w:pPr>
        <w:ind w:left="366" w:hanging="360"/>
      </w:pPr>
      <w:rPr>
        <w:b/>
        <w:bCs/>
      </w:rPr>
    </w:lvl>
    <w:lvl w:ilvl="2">
      <w:start w:val="1"/>
      <w:numFmt w:val="decimal"/>
      <w:lvlText w:val="%1.%2.%3."/>
      <w:lvlJc w:val="left"/>
      <w:pPr>
        <w:ind w:left="1086" w:hanging="720"/>
      </w:pPr>
    </w:lvl>
    <w:lvl w:ilvl="3">
      <w:start w:val="1"/>
      <w:numFmt w:val="decimal"/>
      <w:lvlText w:val="%1.%2.%3.%4."/>
      <w:lvlJc w:val="left"/>
      <w:pPr>
        <w:ind w:left="1806" w:hanging="1080"/>
      </w:pPr>
      <w:rPr>
        <w:b/>
        <w:bCs/>
      </w:rPr>
    </w:lvl>
    <w:lvl w:ilvl="4">
      <w:start w:val="1"/>
      <w:numFmt w:val="decimal"/>
      <w:lvlText w:val="%1.%2.%3.%4.%5."/>
      <w:lvlJc w:val="left"/>
      <w:pPr>
        <w:ind w:left="1222" w:hanging="1080"/>
      </w:pPr>
      <w:rPr>
        <w:b/>
        <w:bCs/>
      </w:rPr>
    </w:lvl>
    <w:lvl w:ilvl="5">
      <w:start w:val="1"/>
      <w:numFmt w:val="decimal"/>
      <w:lvlText w:val="%1.%2.%3.%4.%5.%6."/>
      <w:lvlJc w:val="left"/>
      <w:pPr>
        <w:ind w:left="2886" w:hanging="1440"/>
      </w:pPr>
    </w:lvl>
    <w:lvl w:ilvl="6">
      <w:start w:val="1"/>
      <w:numFmt w:val="decimal"/>
      <w:lvlText w:val="%1.%2.%3.%4.%5.%6.%7."/>
      <w:lvlJc w:val="left"/>
      <w:pPr>
        <w:ind w:left="3246" w:hanging="1440"/>
      </w:pPr>
    </w:lvl>
    <w:lvl w:ilvl="7">
      <w:start w:val="1"/>
      <w:numFmt w:val="decimal"/>
      <w:lvlText w:val="%1.%2.%3.%4.%5.%6.%7.%8."/>
      <w:lvlJc w:val="left"/>
      <w:pPr>
        <w:ind w:left="3966" w:hanging="1800"/>
      </w:pPr>
    </w:lvl>
    <w:lvl w:ilvl="8">
      <w:start w:val="1"/>
      <w:numFmt w:val="decimal"/>
      <w:lvlText w:val="%1.%2.%3.%4.%5.%6.%7.%8.%9."/>
      <w:lvlJc w:val="left"/>
      <w:pPr>
        <w:ind w:left="4326" w:hanging="1800"/>
      </w:pPr>
    </w:lvl>
  </w:abstractNum>
  <w:abstractNum w:abstractNumId="20" w15:restartNumberingAfterBreak="0">
    <w:nsid w:val="68FB4368"/>
    <w:multiLevelType w:val="hybridMultilevel"/>
    <w:tmpl w:val="42646672"/>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15:restartNumberingAfterBreak="0">
    <w:nsid w:val="71355B91"/>
    <w:multiLevelType w:val="hybridMultilevel"/>
    <w:tmpl w:val="0E98399E"/>
    <w:lvl w:ilvl="0" w:tplc="03DC8EB2">
      <w:start w:val="1"/>
      <w:numFmt w:val="bullet"/>
      <w:lvlText w:val=""/>
      <w:lvlJc w:val="left"/>
      <w:pPr>
        <w:ind w:left="720" w:hanging="360"/>
      </w:pPr>
      <w:rPr>
        <w:rFonts w:ascii="Symbol" w:hAnsi="Symbol" w:hint="default"/>
      </w:rPr>
    </w:lvl>
    <w:lvl w:ilvl="1" w:tplc="D8246624" w:tentative="1">
      <w:start w:val="1"/>
      <w:numFmt w:val="bullet"/>
      <w:lvlText w:val="o"/>
      <w:lvlJc w:val="left"/>
      <w:pPr>
        <w:ind w:left="1440" w:hanging="360"/>
      </w:pPr>
      <w:rPr>
        <w:rFonts w:ascii="Courier New" w:hAnsi="Courier New" w:hint="default"/>
      </w:rPr>
    </w:lvl>
    <w:lvl w:ilvl="2" w:tplc="09E4B6B2">
      <w:start w:val="1"/>
      <w:numFmt w:val="bullet"/>
      <w:lvlText w:val=""/>
      <w:lvlJc w:val="left"/>
      <w:pPr>
        <w:ind w:left="2160" w:hanging="360"/>
      </w:pPr>
      <w:rPr>
        <w:rFonts w:ascii="Wingdings" w:hAnsi="Wingdings" w:hint="default"/>
      </w:rPr>
    </w:lvl>
    <w:lvl w:ilvl="3" w:tplc="5830C222" w:tentative="1">
      <w:start w:val="1"/>
      <w:numFmt w:val="bullet"/>
      <w:lvlText w:val=""/>
      <w:lvlJc w:val="left"/>
      <w:pPr>
        <w:ind w:left="2880" w:hanging="360"/>
      </w:pPr>
      <w:rPr>
        <w:rFonts w:ascii="Symbol" w:hAnsi="Symbol" w:hint="default"/>
      </w:rPr>
    </w:lvl>
    <w:lvl w:ilvl="4" w:tplc="28E8BC76" w:tentative="1">
      <w:start w:val="1"/>
      <w:numFmt w:val="bullet"/>
      <w:lvlText w:val="o"/>
      <w:lvlJc w:val="left"/>
      <w:pPr>
        <w:ind w:left="3600" w:hanging="360"/>
      </w:pPr>
      <w:rPr>
        <w:rFonts w:ascii="Courier New" w:hAnsi="Courier New" w:hint="default"/>
      </w:rPr>
    </w:lvl>
    <w:lvl w:ilvl="5" w:tplc="B0F05B6C" w:tentative="1">
      <w:start w:val="1"/>
      <w:numFmt w:val="bullet"/>
      <w:lvlText w:val=""/>
      <w:lvlJc w:val="left"/>
      <w:pPr>
        <w:ind w:left="4320" w:hanging="360"/>
      </w:pPr>
      <w:rPr>
        <w:rFonts w:ascii="Wingdings" w:hAnsi="Wingdings" w:hint="default"/>
      </w:rPr>
    </w:lvl>
    <w:lvl w:ilvl="6" w:tplc="A71A3A02" w:tentative="1">
      <w:start w:val="1"/>
      <w:numFmt w:val="bullet"/>
      <w:lvlText w:val=""/>
      <w:lvlJc w:val="left"/>
      <w:pPr>
        <w:ind w:left="5040" w:hanging="360"/>
      </w:pPr>
      <w:rPr>
        <w:rFonts w:ascii="Symbol" w:hAnsi="Symbol" w:hint="default"/>
      </w:rPr>
    </w:lvl>
    <w:lvl w:ilvl="7" w:tplc="BB064FDA" w:tentative="1">
      <w:start w:val="1"/>
      <w:numFmt w:val="bullet"/>
      <w:lvlText w:val="o"/>
      <w:lvlJc w:val="left"/>
      <w:pPr>
        <w:ind w:left="5760" w:hanging="360"/>
      </w:pPr>
      <w:rPr>
        <w:rFonts w:ascii="Courier New" w:hAnsi="Courier New" w:hint="default"/>
      </w:rPr>
    </w:lvl>
    <w:lvl w:ilvl="8" w:tplc="B538B674" w:tentative="1">
      <w:start w:val="1"/>
      <w:numFmt w:val="bullet"/>
      <w:lvlText w:val=""/>
      <w:lvlJc w:val="left"/>
      <w:pPr>
        <w:ind w:left="6480" w:hanging="360"/>
      </w:pPr>
      <w:rPr>
        <w:rFonts w:ascii="Wingdings" w:hAnsi="Wingdings" w:hint="default"/>
      </w:rPr>
    </w:lvl>
  </w:abstractNum>
  <w:abstractNum w:abstractNumId="22" w15:restartNumberingAfterBreak="0">
    <w:nsid w:val="7CD01859"/>
    <w:multiLevelType w:val="hybridMultilevel"/>
    <w:tmpl w:val="5FF261D2"/>
    <w:lvl w:ilvl="0" w:tplc="321CD5BC">
      <w:start w:val="1"/>
      <w:numFmt w:val="lowerRoman"/>
      <w:lvlText w:val="%1."/>
      <w:lvlJc w:val="right"/>
      <w:pPr>
        <w:ind w:left="2520" w:hanging="180"/>
      </w:pPr>
      <w:rPr>
        <w:b/>
        <w:bCs/>
      </w:rPr>
    </w:lvl>
    <w:lvl w:ilvl="1" w:tplc="54E2CE5E" w:tentative="1">
      <w:start w:val="1"/>
      <w:numFmt w:val="lowerLetter"/>
      <w:lvlText w:val="%2."/>
      <w:lvlJc w:val="left"/>
      <w:pPr>
        <w:ind w:left="1800" w:hanging="360"/>
      </w:pPr>
    </w:lvl>
    <w:lvl w:ilvl="2" w:tplc="7B2E2C86" w:tentative="1">
      <w:start w:val="1"/>
      <w:numFmt w:val="lowerRoman"/>
      <w:lvlText w:val="%3."/>
      <w:lvlJc w:val="right"/>
      <w:pPr>
        <w:ind w:left="2520" w:hanging="180"/>
      </w:pPr>
    </w:lvl>
    <w:lvl w:ilvl="3" w:tplc="9476DBF2" w:tentative="1">
      <w:start w:val="1"/>
      <w:numFmt w:val="decimal"/>
      <w:lvlText w:val="%4."/>
      <w:lvlJc w:val="left"/>
      <w:pPr>
        <w:ind w:left="3240" w:hanging="360"/>
      </w:pPr>
    </w:lvl>
    <w:lvl w:ilvl="4" w:tplc="6A6AD828" w:tentative="1">
      <w:start w:val="1"/>
      <w:numFmt w:val="lowerLetter"/>
      <w:lvlText w:val="%5."/>
      <w:lvlJc w:val="left"/>
      <w:pPr>
        <w:ind w:left="3960" w:hanging="360"/>
      </w:pPr>
    </w:lvl>
    <w:lvl w:ilvl="5" w:tplc="15C0DE98" w:tentative="1">
      <w:start w:val="1"/>
      <w:numFmt w:val="lowerRoman"/>
      <w:lvlText w:val="%6."/>
      <w:lvlJc w:val="right"/>
      <w:pPr>
        <w:ind w:left="4680" w:hanging="180"/>
      </w:pPr>
    </w:lvl>
    <w:lvl w:ilvl="6" w:tplc="15D2655E" w:tentative="1">
      <w:start w:val="1"/>
      <w:numFmt w:val="decimal"/>
      <w:lvlText w:val="%7."/>
      <w:lvlJc w:val="left"/>
      <w:pPr>
        <w:ind w:left="5400" w:hanging="360"/>
      </w:pPr>
    </w:lvl>
    <w:lvl w:ilvl="7" w:tplc="4E50B476" w:tentative="1">
      <w:start w:val="1"/>
      <w:numFmt w:val="lowerLetter"/>
      <w:lvlText w:val="%8."/>
      <w:lvlJc w:val="left"/>
      <w:pPr>
        <w:ind w:left="6120" w:hanging="360"/>
      </w:pPr>
    </w:lvl>
    <w:lvl w:ilvl="8" w:tplc="AF7CD82A" w:tentative="1">
      <w:start w:val="1"/>
      <w:numFmt w:val="lowerRoman"/>
      <w:lvlText w:val="%9."/>
      <w:lvlJc w:val="right"/>
      <w:pPr>
        <w:ind w:left="6840" w:hanging="180"/>
      </w:pPr>
    </w:lvl>
  </w:abstractNum>
  <w:abstractNum w:abstractNumId="23" w15:restartNumberingAfterBreak="0">
    <w:nsid w:val="7CECF073"/>
    <w:multiLevelType w:val="hybridMultilevel"/>
    <w:tmpl w:val="1A14C586"/>
    <w:lvl w:ilvl="0" w:tplc="465CCD4A">
      <w:start w:val="1"/>
      <w:numFmt w:val="decimal"/>
      <w:lvlText w:val="%1."/>
      <w:lvlJc w:val="left"/>
      <w:pPr>
        <w:ind w:left="1800" w:hanging="360"/>
      </w:pPr>
    </w:lvl>
    <w:lvl w:ilvl="1" w:tplc="0D5CFC26">
      <w:start w:val="1"/>
      <w:numFmt w:val="lowerLetter"/>
      <w:lvlText w:val="%2."/>
      <w:lvlJc w:val="left"/>
      <w:pPr>
        <w:ind w:left="2520" w:hanging="360"/>
      </w:pPr>
    </w:lvl>
    <w:lvl w:ilvl="2" w:tplc="F25A0A56">
      <w:start w:val="1"/>
      <w:numFmt w:val="lowerRoman"/>
      <w:lvlText w:val="%3."/>
      <w:lvlJc w:val="right"/>
      <w:pPr>
        <w:ind w:left="3240" w:hanging="180"/>
      </w:pPr>
    </w:lvl>
    <w:lvl w:ilvl="3" w:tplc="0186C2F0">
      <w:start w:val="1"/>
      <w:numFmt w:val="decimal"/>
      <w:lvlText w:val="%4."/>
      <w:lvlJc w:val="left"/>
      <w:pPr>
        <w:ind w:left="3960" w:hanging="360"/>
      </w:pPr>
    </w:lvl>
    <w:lvl w:ilvl="4" w:tplc="119E2674">
      <w:start w:val="1"/>
      <w:numFmt w:val="lowerLetter"/>
      <w:lvlText w:val="%5."/>
      <w:lvlJc w:val="left"/>
      <w:pPr>
        <w:ind w:left="4680" w:hanging="360"/>
      </w:pPr>
    </w:lvl>
    <w:lvl w:ilvl="5" w:tplc="BBF89348">
      <w:start w:val="1"/>
      <w:numFmt w:val="lowerRoman"/>
      <w:lvlText w:val="%6."/>
      <w:lvlJc w:val="right"/>
      <w:pPr>
        <w:ind w:left="5400" w:hanging="180"/>
      </w:pPr>
    </w:lvl>
    <w:lvl w:ilvl="6" w:tplc="9604C186">
      <w:start w:val="1"/>
      <w:numFmt w:val="decimal"/>
      <w:lvlText w:val="%7."/>
      <w:lvlJc w:val="left"/>
      <w:pPr>
        <w:ind w:left="6120" w:hanging="360"/>
      </w:pPr>
    </w:lvl>
    <w:lvl w:ilvl="7" w:tplc="DE76D91A">
      <w:start w:val="1"/>
      <w:numFmt w:val="lowerLetter"/>
      <w:lvlText w:val="%8."/>
      <w:lvlJc w:val="left"/>
      <w:pPr>
        <w:ind w:left="6840" w:hanging="360"/>
      </w:pPr>
    </w:lvl>
    <w:lvl w:ilvl="8" w:tplc="6E005B0A">
      <w:start w:val="1"/>
      <w:numFmt w:val="lowerRoman"/>
      <w:lvlText w:val="%9."/>
      <w:lvlJc w:val="right"/>
      <w:pPr>
        <w:ind w:left="7560" w:hanging="180"/>
      </w:pPr>
    </w:lvl>
  </w:abstractNum>
  <w:abstractNum w:abstractNumId="24" w15:restartNumberingAfterBreak="0">
    <w:nsid w:val="7D160E64"/>
    <w:multiLevelType w:val="hybridMultilevel"/>
    <w:tmpl w:val="7D3CDE38"/>
    <w:lvl w:ilvl="0" w:tplc="E1CE28A4">
      <w:start w:val="1"/>
      <w:numFmt w:val="lowerLetter"/>
      <w:lvlText w:val="%1."/>
      <w:lvlJc w:val="left"/>
      <w:pPr>
        <w:ind w:left="1069" w:hanging="360"/>
      </w:pPr>
      <w:rPr>
        <w:rFonts w:hint="default"/>
      </w:rPr>
    </w:lvl>
    <w:lvl w:ilvl="1" w:tplc="4A6A1170">
      <w:start w:val="1"/>
      <w:numFmt w:val="bullet"/>
      <w:lvlText w:val="o"/>
      <w:lvlJc w:val="left"/>
      <w:pPr>
        <w:ind w:left="1789" w:hanging="360"/>
      </w:pPr>
      <w:rPr>
        <w:rFonts w:ascii="Courier New" w:hAnsi="Courier New" w:hint="default"/>
      </w:rPr>
    </w:lvl>
    <w:lvl w:ilvl="2" w:tplc="414418A0">
      <w:start w:val="1"/>
      <w:numFmt w:val="bullet"/>
      <w:lvlText w:val=""/>
      <w:lvlJc w:val="left"/>
      <w:pPr>
        <w:ind w:left="2509" w:hanging="360"/>
      </w:pPr>
      <w:rPr>
        <w:rFonts w:ascii="Wingdings" w:hAnsi="Wingdings" w:hint="default"/>
      </w:rPr>
    </w:lvl>
    <w:lvl w:ilvl="3" w:tplc="0F3A6A20">
      <w:start w:val="1"/>
      <w:numFmt w:val="bullet"/>
      <w:lvlText w:val=""/>
      <w:lvlJc w:val="left"/>
      <w:pPr>
        <w:ind w:left="3229" w:hanging="360"/>
      </w:pPr>
      <w:rPr>
        <w:rFonts w:ascii="Symbol" w:hAnsi="Symbol" w:hint="default"/>
      </w:rPr>
    </w:lvl>
    <w:lvl w:ilvl="4" w:tplc="CD641C74">
      <w:start w:val="1"/>
      <w:numFmt w:val="bullet"/>
      <w:lvlText w:val="o"/>
      <w:lvlJc w:val="left"/>
      <w:pPr>
        <w:ind w:left="3949" w:hanging="360"/>
      </w:pPr>
      <w:rPr>
        <w:rFonts w:ascii="Courier New" w:hAnsi="Courier New" w:hint="default"/>
      </w:rPr>
    </w:lvl>
    <w:lvl w:ilvl="5" w:tplc="DA2411EA">
      <w:start w:val="1"/>
      <w:numFmt w:val="bullet"/>
      <w:lvlText w:val=""/>
      <w:lvlJc w:val="left"/>
      <w:pPr>
        <w:ind w:left="4669" w:hanging="360"/>
      </w:pPr>
      <w:rPr>
        <w:rFonts w:ascii="Wingdings" w:hAnsi="Wingdings" w:hint="default"/>
      </w:rPr>
    </w:lvl>
    <w:lvl w:ilvl="6" w:tplc="98AECCC4">
      <w:start w:val="1"/>
      <w:numFmt w:val="bullet"/>
      <w:lvlText w:val=""/>
      <w:lvlJc w:val="left"/>
      <w:pPr>
        <w:ind w:left="5389" w:hanging="360"/>
      </w:pPr>
      <w:rPr>
        <w:rFonts w:ascii="Symbol" w:hAnsi="Symbol" w:hint="default"/>
      </w:rPr>
    </w:lvl>
    <w:lvl w:ilvl="7" w:tplc="26C84448">
      <w:start w:val="1"/>
      <w:numFmt w:val="bullet"/>
      <w:lvlText w:val="o"/>
      <w:lvlJc w:val="left"/>
      <w:pPr>
        <w:ind w:left="6109" w:hanging="360"/>
      </w:pPr>
      <w:rPr>
        <w:rFonts w:ascii="Courier New" w:hAnsi="Courier New" w:hint="default"/>
      </w:rPr>
    </w:lvl>
    <w:lvl w:ilvl="8" w:tplc="FE12BBCE">
      <w:start w:val="1"/>
      <w:numFmt w:val="bullet"/>
      <w:lvlText w:val=""/>
      <w:lvlJc w:val="left"/>
      <w:pPr>
        <w:ind w:left="6829" w:hanging="360"/>
      </w:pPr>
      <w:rPr>
        <w:rFonts w:ascii="Wingdings" w:hAnsi="Wingdings" w:hint="default"/>
      </w:rPr>
    </w:lvl>
  </w:abstractNum>
  <w:num w:numId="1" w16cid:durableId="2008552831">
    <w:abstractNumId w:val="23"/>
  </w:num>
  <w:num w:numId="2" w16cid:durableId="1337926715">
    <w:abstractNumId w:val="7"/>
  </w:num>
  <w:num w:numId="3" w16cid:durableId="866526624">
    <w:abstractNumId w:val="6"/>
  </w:num>
  <w:num w:numId="4" w16cid:durableId="791047816">
    <w:abstractNumId w:val="4"/>
  </w:num>
  <w:num w:numId="5" w16cid:durableId="891035267">
    <w:abstractNumId w:val="3"/>
  </w:num>
  <w:num w:numId="6" w16cid:durableId="1045909430">
    <w:abstractNumId w:val="1"/>
  </w:num>
  <w:num w:numId="7" w16cid:durableId="1328050116">
    <w:abstractNumId w:val="17"/>
  </w:num>
  <w:num w:numId="8" w16cid:durableId="2035879977">
    <w:abstractNumId w:val="9"/>
  </w:num>
  <w:num w:numId="9" w16cid:durableId="797603315">
    <w:abstractNumId w:val="22"/>
  </w:num>
  <w:num w:numId="10" w16cid:durableId="816266890">
    <w:abstractNumId w:val="10"/>
  </w:num>
  <w:num w:numId="11" w16cid:durableId="1770808665">
    <w:abstractNumId w:val="19"/>
  </w:num>
  <w:num w:numId="12" w16cid:durableId="1436637614">
    <w:abstractNumId w:val="12"/>
  </w:num>
  <w:num w:numId="13" w16cid:durableId="1119447607">
    <w:abstractNumId w:val="15"/>
  </w:num>
  <w:num w:numId="14" w16cid:durableId="480271496">
    <w:abstractNumId w:val="11"/>
  </w:num>
  <w:num w:numId="15" w16cid:durableId="308899291">
    <w:abstractNumId w:val="18"/>
  </w:num>
  <w:num w:numId="16" w16cid:durableId="884681971">
    <w:abstractNumId w:val="24"/>
  </w:num>
  <w:num w:numId="17" w16cid:durableId="832376088">
    <w:abstractNumId w:val="5"/>
  </w:num>
  <w:num w:numId="18" w16cid:durableId="230583070">
    <w:abstractNumId w:val="14"/>
  </w:num>
  <w:num w:numId="19" w16cid:durableId="853227589">
    <w:abstractNumId w:val="13"/>
  </w:num>
  <w:num w:numId="20" w16cid:durableId="1931624952">
    <w:abstractNumId w:val="16"/>
  </w:num>
  <w:num w:numId="21" w16cid:durableId="185872088">
    <w:abstractNumId w:val="2"/>
  </w:num>
  <w:num w:numId="22" w16cid:durableId="1562598234">
    <w:abstractNumId w:val="0"/>
  </w:num>
  <w:num w:numId="23" w16cid:durableId="1225140686">
    <w:abstractNumId w:val="20"/>
  </w:num>
  <w:num w:numId="24" w16cid:durableId="186718661">
    <w:abstractNumId w:val="21"/>
  </w:num>
  <w:num w:numId="25" w16cid:durableId="1460762205">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6145">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6A"/>
    <w:rsid w:val="00011EB3"/>
    <w:rsid w:val="00013346"/>
    <w:rsid w:val="001B7BD0"/>
    <w:rsid w:val="002257AC"/>
    <w:rsid w:val="002A4A21"/>
    <w:rsid w:val="002C4442"/>
    <w:rsid w:val="002E04FC"/>
    <w:rsid w:val="003328EF"/>
    <w:rsid w:val="003554AF"/>
    <w:rsid w:val="0038444A"/>
    <w:rsid w:val="00386ACF"/>
    <w:rsid w:val="003A4047"/>
    <w:rsid w:val="003B2D3B"/>
    <w:rsid w:val="003B6864"/>
    <w:rsid w:val="003F3F6A"/>
    <w:rsid w:val="0042625F"/>
    <w:rsid w:val="0043496E"/>
    <w:rsid w:val="00475E87"/>
    <w:rsid w:val="004A200D"/>
    <w:rsid w:val="00520C9A"/>
    <w:rsid w:val="00527D07"/>
    <w:rsid w:val="005B504D"/>
    <w:rsid w:val="005C0C90"/>
    <w:rsid w:val="005D62D8"/>
    <w:rsid w:val="005E4FEE"/>
    <w:rsid w:val="00651EB6"/>
    <w:rsid w:val="00657251"/>
    <w:rsid w:val="00693E64"/>
    <w:rsid w:val="006C593A"/>
    <w:rsid w:val="00705816"/>
    <w:rsid w:val="00723A97"/>
    <w:rsid w:val="0075231C"/>
    <w:rsid w:val="007B06CC"/>
    <w:rsid w:val="00834483"/>
    <w:rsid w:val="0085398B"/>
    <w:rsid w:val="0086236D"/>
    <w:rsid w:val="0088090C"/>
    <w:rsid w:val="008A123E"/>
    <w:rsid w:val="008B31D3"/>
    <w:rsid w:val="008E7755"/>
    <w:rsid w:val="00985B26"/>
    <w:rsid w:val="0098692F"/>
    <w:rsid w:val="009F1E6D"/>
    <w:rsid w:val="00A7355D"/>
    <w:rsid w:val="00AA25AB"/>
    <w:rsid w:val="00AE6AF8"/>
    <w:rsid w:val="00B34EA8"/>
    <w:rsid w:val="00B37069"/>
    <w:rsid w:val="00BC2A1D"/>
    <w:rsid w:val="00BC68E3"/>
    <w:rsid w:val="00C21A8F"/>
    <w:rsid w:val="00C22070"/>
    <w:rsid w:val="00CA2BC2"/>
    <w:rsid w:val="00CA3CCA"/>
    <w:rsid w:val="00CF3BCE"/>
    <w:rsid w:val="00CF65D9"/>
    <w:rsid w:val="00D14201"/>
    <w:rsid w:val="00DF7579"/>
    <w:rsid w:val="00E20CFE"/>
    <w:rsid w:val="00E94D34"/>
    <w:rsid w:val="00ED3A6F"/>
    <w:rsid w:val="00EE0248"/>
    <w:rsid w:val="00FF09E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colormenu v:ext="edit" fillcolor="none"/>
    </o:shapedefaults>
    <o:shapelayout v:ext="edit">
      <o:idmap v:ext="edit" data="1"/>
    </o:shapelayout>
  </w:shapeDefaults>
  <w:decimalSymbol w:val="."/>
  <w:listSeparator w:val=","/>
  <w14:docId w14:val="1BE24ADE"/>
  <w15:chartTrackingRefBased/>
  <w15:docId w15:val="{381735F0-5D0C-4DA7-AC0E-B46500549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qFormat/>
    <w:rsid w:val="005D62D8"/>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Graphic,List Paragraph1,Table of contents numbered,List Paragraph Char Char,Resume Title,Ha,Bullet for Sub Section,Bullet List,FooterText,numbered,Paragraphe de liste,bk paragraph,Paragraphe de liste1,Bulletr List Paragraph"/>
    <w:basedOn w:val="Normal"/>
    <w:link w:val="ListParagraphChar"/>
    <w:uiPriority w:val="34"/>
    <w:qFormat/>
    <w:rsid w:val="003F3F6A"/>
    <w:pPr>
      <w:ind w:left="720"/>
      <w:contextualSpacing/>
    </w:pPr>
  </w:style>
  <w:style w:type="table" w:styleId="TableGrid">
    <w:name w:val="Table Grid"/>
    <w:basedOn w:val="TableNormal"/>
    <w:uiPriority w:val="39"/>
    <w:rsid w:val="00CF3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93E6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5231C"/>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75231C"/>
    <w:rPr>
      <w:rFonts w:ascii="Segoe UI" w:hAnsi="Segoe UI" w:cs="Mangal"/>
      <w:sz w:val="18"/>
      <w:szCs w:val="16"/>
    </w:rPr>
  </w:style>
  <w:style w:type="paragraph" w:styleId="Header">
    <w:name w:val="header"/>
    <w:basedOn w:val="Normal"/>
    <w:link w:val="HeaderChar"/>
    <w:uiPriority w:val="99"/>
    <w:unhideWhenUsed/>
    <w:rsid w:val="003B2D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2D3B"/>
    <w:rPr>
      <w:rFonts w:cs="Mangal"/>
    </w:rPr>
  </w:style>
  <w:style w:type="paragraph" w:styleId="Footer">
    <w:name w:val="footer"/>
    <w:basedOn w:val="Normal"/>
    <w:link w:val="FooterChar"/>
    <w:unhideWhenUsed/>
    <w:rsid w:val="003B2D3B"/>
    <w:pPr>
      <w:tabs>
        <w:tab w:val="center" w:pos="4513"/>
        <w:tab w:val="right" w:pos="9026"/>
      </w:tabs>
      <w:spacing w:after="0" w:line="240" w:lineRule="auto"/>
    </w:pPr>
  </w:style>
  <w:style w:type="character" w:customStyle="1" w:styleId="FooterChar">
    <w:name w:val="Footer Char"/>
    <w:basedOn w:val="DefaultParagraphFont"/>
    <w:link w:val="Footer"/>
    <w:rsid w:val="003B2D3B"/>
    <w:rPr>
      <w:rFonts w:cs="Mangal"/>
    </w:rPr>
  </w:style>
  <w:style w:type="character" w:customStyle="1" w:styleId="Heading1Char">
    <w:name w:val="Heading 1 Char"/>
    <w:basedOn w:val="DefaultParagraphFont"/>
    <w:link w:val="Heading1"/>
    <w:rsid w:val="005D62D8"/>
    <w:rPr>
      <w:rFonts w:asciiTheme="majorHAnsi" w:eastAsiaTheme="majorEastAsia" w:hAnsiTheme="majorHAnsi" w:cstheme="majorBidi"/>
      <w:color w:val="2F5496" w:themeColor="accent1" w:themeShade="BF"/>
      <w:sz w:val="32"/>
      <w:szCs w:val="32"/>
      <w:lang w:bidi="ar-SA"/>
    </w:rPr>
  </w:style>
  <w:style w:type="character" w:customStyle="1" w:styleId="ListParagraphChar">
    <w:name w:val="List Paragraph Char"/>
    <w:aliases w:val="Citation List Char,Graphic Char,List Paragraph1 Char,Table of contents numbered Char,List Paragraph Char Char Char,Resume Title Char,Ha Char,Bullet for Sub Section Char,Bullet List Char,FooterText Char,numbered Char,bk paragraph Char"/>
    <w:link w:val="ListParagraph"/>
    <w:uiPriority w:val="34"/>
    <w:qFormat/>
    <w:locked/>
    <w:rsid w:val="005D62D8"/>
    <w:rPr>
      <w:rFonts w:cs="Mangal"/>
    </w:rPr>
  </w:style>
  <w:style w:type="table" w:customStyle="1" w:styleId="TableGrid0">
    <w:name w:val="TableGrid"/>
    <w:rsid w:val="005D62D8"/>
    <w:pPr>
      <w:spacing w:after="0" w:line="240" w:lineRule="auto"/>
    </w:pPr>
    <w:rPr>
      <w:rFonts w:eastAsia="Times New Roman"/>
    </w:rPr>
    <w:tblPr>
      <w:tblCellMar>
        <w:top w:w="0" w:type="dxa"/>
        <w:left w:w="0" w:type="dxa"/>
        <w:bottom w:w="0" w:type="dxa"/>
        <w:right w:w="0" w:type="dxa"/>
      </w:tblCellMar>
    </w:tblPr>
  </w:style>
  <w:style w:type="paragraph" w:styleId="NoSpacing">
    <w:name w:val="No Spacing"/>
    <w:uiPriority w:val="1"/>
    <w:qFormat/>
    <w:rsid w:val="005D62D8"/>
    <w:pPr>
      <w:spacing w:after="0" w:line="240" w:lineRule="auto"/>
    </w:pPr>
    <w:rPr>
      <w:rFonts w:cs="Mangal"/>
      <w:kern w:val="2"/>
      <w:sz w:val="24"/>
      <w:szCs w:val="21"/>
      <w:lang w:val="en-I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35968">
      <w:bodyDiv w:val="1"/>
      <w:marLeft w:val="0"/>
      <w:marRight w:val="0"/>
      <w:marTop w:val="0"/>
      <w:marBottom w:val="0"/>
      <w:divBdr>
        <w:top w:val="none" w:sz="0" w:space="0" w:color="auto"/>
        <w:left w:val="none" w:sz="0" w:space="0" w:color="auto"/>
        <w:bottom w:val="none" w:sz="0" w:space="0" w:color="auto"/>
        <w:right w:val="none" w:sz="0" w:space="0" w:color="auto"/>
      </w:divBdr>
    </w:div>
    <w:div w:id="205262707">
      <w:bodyDiv w:val="1"/>
      <w:marLeft w:val="0"/>
      <w:marRight w:val="0"/>
      <w:marTop w:val="0"/>
      <w:marBottom w:val="0"/>
      <w:divBdr>
        <w:top w:val="none" w:sz="0" w:space="0" w:color="auto"/>
        <w:left w:val="none" w:sz="0" w:space="0" w:color="auto"/>
        <w:bottom w:val="none" w:sz="0" w:space="0" w:color="auto"/>
        <w:right w:val="none" w:sz="0" w:space="0" w:color="auto"/>
      </w:divBdr>
      <w:divsChild>
        <w:div w:id="779573256">
          <w:marLeft w:val="0"/>
          <w:marRight w:val="0"/>
          <w:marTop w:val="0"/>
          <w:marBottom w:val="0"/>
          <w:divBdr>
            <w:top w:val="single" w:sz="2" w:space="0" w:color="D9D9E3"/>
            <w:left w:val="single" w:sz="2" w:space="0" w:color="D9D9E3"/>
            <w:bottom w:val="single" w:sz="2" w:space="0" w:color="D9D9E3"/>
            <w:right w:val="single" w:sz="2" w:space="0" w:color="D9D9E3"/>
          </w:divBdr>
          <w:divsChild>
            <w:div w:id="99885523">
              <w:marLeft w:val="0"/>
              <w:marRight w:val="0"/>
              <w:marTop w:val="0"/>
              <w:marBottom w:val="0"/>
              <w:divBdr>
                <w:top w:val="single" w:sz="2" w:space="0" w:color="D9D9E3"/>
                <w:left w:val="single" w:sz="2" w:space="0" w:color="D9D9E3"/>
                <w:bottom w:val="single" w:sz="2" w:space="0" w:color="D9D9E3"/>
                <w:right w:val="single" w:sz="2" w:space="0" w:color="D9D9E3"/>
              </w:divBdr>
              <w:divsChild>
                <w:div w:id="1593880">
                  <w:marLeft w:val="0"/>
                  <w:marRight w:val="0"/>
                  <w:marTop w:val="0"/>
                  <w:marBottom w:val="0"/>
                  <w:divBdr>
                    <w:top w:val="single" w:sz="2" w:space="0" w:color="D9D9E3"/>
                    <w:left w:val="single" w:sz="2" w:space="0" w:color="D9D9E3"/>
                    <w:bottom w:val="single" w:sz="2" w:space="0" w:color="D9D9E3"/>
                    <w:right w:val="single" w:sz="2" w:space="0" w:color="D9D9E3"/>
                  </w:divBdr>
                  <w:divsChild>
                    <w:div w:id="303236296">
                      <w:marLeft w:val="0"/>
                      <w:marRight w:val="0"/>
                      <w:marTop w:val="0"/>
                      <w:marBottom w:val="0"/>
                      <w:divBdr>
                        <w:top w:val="single" w:sz="2" w:space="0" w:color="D9D9E3"/>
                        <w:left w:val="single" w:sz="2" w:space="0" w:color="D9D9E3"/>
                        <w:bottom w:val="single" w:sz="2" w:space="0" w:color="D9D9E3"/>
                        <w:right w:val="single" w:sz="2" w:space="0" w:color="D9D9E3"/>
                      </w:divBdr>
                      <w:divsChild>
                        <w:div w:id="1398868239">
                          <w:marLeft w:val="0"/>
                          <w:marRight w:val="0"/>
                          <w:marTop w:val="0"/>
                          <w:marBottom w:val="0"/>
                          <w:divBdr>
                            <w:top w:val="single" w:sz="2" w:space="0" w:color="auto"/>
                            <w:left w:val="single" w:sz="2" w:space="0" w:color="auto"/>
                            <w:bottom w:val="single" w:sz="6" w:space="0" w:color="auto"/>
                            <w:right w:val="single" w:sz="2" w:space="0" w:color="auto"/>
                          </w:divBdr>
                          <w:divsChild>
                            <w:div w:id="1630088978">
                              <w:marLeft w:val="0"/>
                              <w:marRight w:val="0"/>
                              <w:marTop w:val="100"/>
                              <w:marBottom w:val="100"/>
                              <w:divBdr>
                                <w:top w:val="single" w:sz="2" w:space="0" w:color="D9D9E3"/>
                                <w:left w:val="single" w:sz="2" w:space="0" w:color="D9D9E3"/>
                                <w:bottom w:val="single" w:sz="2" w:space="0" w:color="D9D9E3"/>
                                <w:right w:val="single" w:sz="2" w:space="0" w:color="D9D9E3"/>
                              </w:divBdr>
                              <w:divsChild>
                                <w:div w:id="1034116188">
                                  <w:marLeft w:val="0"/>
                                  <w:marRight w:val="0"/>
                                  <w:marTop w:val="0"/>
                                  <w:marBottom w:val="0"/>
                                  <w:divBdr>
                                    <w:top w:val="single" w:sz="2" w:space="0" w:color="D9D9E3"/>
                                    <w:left w:val="single" w:sz="2" w:space="0" w:color="D9D9E3"/>
                                    <w:bottom w:val="single" w:sz="2" w:space="0" w:color="D9D9E3"/>
                                    <w:right w:val="single" w:sz="2" w:space="0" w:color="D9D9E3"/>
                                  </w:divBdr>
                                  <w:divsChild>
                                    <w:div w:id="1238904420">
                                      <w:marLeft w:val="0"/>
                                      <w:marRight w:val="0"/>
                                      <w:marTop w:val="0"/>
                                      <w:marBottom w:val="0"/>
                                      <w:divBdr>
                                        <w:top w:val="single" w:sz="2" w:space="0" w:color="D9D9E3"/>
                                        <w:left w:val="single" w:sz="2" w:space="0" w:color="D9D9E3"/>
                                        <w:bottom w:val="single" w:sz="2" w:space="0" w:color="D9D9E3"/>
                                        <w:right w:val="single" w:sz="2" w:space="0" w:color="D9D9E3"/>
                                      </w:divBdr>
                                      <w:divsChild>
                                        <w:div w:id="878124499">
                                          <w:marLeft w:val="0"/>
                                          <w:marRight w:val="0"/>
                                          <w:marTop w:val="0"/>
                                          <w:marBottom w:val="0"/>
                                          <w:divBdr>
                                            <w:top w:val="single" w:sz="2" w:space="0" w:color="D9D9E3"/>
                                            <w:left w:val="single" w:sz="2" w:space="0" w:color="D9D9E3"/>
                                            <w:bottom w:val="single" w:sz="2" w:space="0" w:color="D9D9E3"/>
                                            <w:right w:val="single" w:sz="2" w:space="0" w:color="D9D9E3"/>
                                          </w:divBdr>
                                          <w:divsChild>
                                            <w:div w:id="27448464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242371454">
          <w:marLeft w:val="0"/>
          <w:marRight w:val="0"/>
          <w:marTop w:val="0"/>
          <w:marBottom w:val="0"/>
          <w:divBdr>
            <w:top w:val="none" w:sz="0" w:space="0" w:color="auto"/>
            <w:left w:val="none" w:sz="0" w:space="0" w:color="auto"/>
            <w:bottom w:val="none" w:sz="0" w:space="0" w:color="auto"/>
            <w:right w:val="none" w:sz="0" w:space="0" w:color="auto"/>
          </w:divBdr>
        </w:div>
      </w:divsChild>
    </w:div>
    <w:div w:id="360597612">
      <w:bodyDiv w:val="1"/>
      <w:marLeft w:val="0"/>
      <w:marRight w:val="0"/>
      <w:marTop w:val="0"/>
      <w:marBottom w:val="0"/>
      <w:divBdr>
        <w:top w:val="none" w:sz="0" w:space="0" w:color="auto"/>
        <w:left w:val="none" w:sz="0" w:space="0" w:color="auto"/>
        <w:bottom w:val="none" w:sz="0" w:space="0" w:color="auto"/>
        <w:right w:val="none" w:sz="0" w:space="0" w:color="auto"/>
      </w:divBdr>
    </w:div>
    <w:div w:id="365713035">
      <w:bodyDiv w:val="1"/>
      <w:marLeft w:val="0"/>
      <w:marRight w:val="0"/>
      <w:marTop w:val="0"/>
      <w:marBottom w:val="0"/>
      <w:divBdr>
        <w:top w:val="none" w:sz="0" w:space="0" w:color="auto"/>
        <w:left w:val="none" w:sz="0" w:space="0" w:color="auto"/>
        <w:bottom w:val="none" w:sz="0" w:space="0" w:color="auto"/>
        <w:right w:val="none" w:sz="0" w:space="0" w:color="auto"/>
      </w:divBdr>
    </w:div>
    <w:div w:id="176075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CD61E-C1A8-4725-AE41-97CFB9FE7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5073</Words>
  <Characters>28918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Deo Nath Jha {Deo Nath Jha}</dc:creator>
  <cp:keywords/>
  <dc:description/>
  <cp:lastModifiedBy>Umesh</cp:lastModifiedBy>
  <cp:revision>23</cp:revision>
  <cp:lastPrinted>2023-03-23T13:41:00Z</cp:lastPrinted>
  <dcterms:created xsi:type="dcterms:W3CDTF">2023-06-01T06:16:00Z</dcterms:created>
  <dcterms:modified xsi:type="dcterms:W3CDTF">2025-04-01T09:48:00Z</dcterms:modified>
</cp:coreProperties>
</file>